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34D3" w14:textId="2F1EC928" w:rsidR="00E928F5" w:rsidRPr="003D1B75" w:rsidRDefault="009E777C" w:rsidP="009E777C">
      <w:pPr>
        <w:jc w:val="right"/>
        <w:rPr>
          <w:rFonts w:ascii="Times New Roman" w:hAnsi="Times New Roman" w:cs="Times New Roman"/>
          <w:bCs/>
        </w:rPr>
      </w:pPr>
      <w:r w:rsidRPr="003D1B75">
        <w:rPr>
          <w:rFonts w:ascii="Times New Roman" w:hAnsi="Times New Roman" w:cs="Times New Roman"/>
          <w:bCs/>
        </w:rPr>
        <w:t xml:space="preserve">Allegato </w:t>
      </w:r>
      <w:r w:rsidR="00A542E8" w:rsidRPr="003D1B75">
        <w:rPr>
          <w:rFonts w:ascii="Times New Roman" w:hAnsi="Times New Roman" w:cs="Times New Roman"/>
          <w:bCs/>
        </w:rPr>
        <w:t>4</w:t>
      </w:r>
    </w:p>
    <w:p w14:paraId="017F2300" w14:textId="77777777" w:rsidR="009E777C" w:rsidRDefault="009E777C" w:rsidP="00E928F5">
      <w:pPr>
        <w:jc w:val="both"/>
        <w:rPr>
          <w:rFonts w:ascii="Times New Roman" w:hAnsi="Times New Roman" w:cs="Times New Roman"/>
          <w:sz w:val="24"/>
          <w:szCs w:val="24"/>
        </w:rPr>
      </w:pPr>
    </w:p>
    <w:p w14:paraId="1DC95728" w14:textId="1202778E" w:rsidR="003D1B75" w:rsidRPr="00660EB0" w:rsidRDefault="003D1B75" w:rsidP="00E37064">
      <w:pPr>
        <w:ind w:right="-143"/>
        <w:jc w:val="both"/>
        <w:rPr>
          <w:rFonts w:ascii="Times New Roman" w:hAnsi="Times New Roman" w:cs="Times New Roman"/>
          <w:sz w:val="24"/>
          <w:szCs w:val="24"/>
        </w:rPr>
      </w:pPr>
      <w:r w:rsidRPr="00660EB0">
        <w:rPr>
          <w:rFonts w:ascii="Times New Roman" w:hAnsi="Times New Roman" w:cs="Times New Roman"/>
          <w:sz w:val="24"/>
          <w:szCs w:val="24"/>
        </w:rPr>
        <w:t>AVVISO</w:t>
      </w:r>
      <w:r w:rsidR="009B258D" w:rsidRPr="009B258D">
        <w:t xml:space="preserve"> </w:t>
      </w:r>
      <w:r w:rsidR="009B258D" w:rsidRPr="009B258D">
        <w:rPr>
          <w:rFonts w:ascii="Times New Roman" w:hAnsi="Times New Roman" w:cs="Times New Roman"/>
          <w:sz w:val="24"/>
          <w:szCs w:val="24"/>
        </w:rPr>
        <w:t xml:space="preserve">RIVOLTO AI COMUNI PER LA SELEZIONE DI N. 3 PROPOSTE DI INTERVENTO FINALIZZATE AL RECUPERO DELLE AREE URBANE E ALL’INCLUSIONE SOCIALE ATTRAVERSO LA REALIZZAZIONE DI NUOVI IMPIANTI SPORTIVI INDOOR DA FINANZIARE NELL’AMBITO DEL PNRR - M5C2 INVESTIMENTO 3.1 “SPORT E INCLUSIONE SOCIALE”, FINANZIATO DALL’UNIONE EUROPEA NEXT GENERATION EU. </w:t>
      </w:r>
      <w:r w:rsidRPr="00660EB0">
        <w:rPr>
          <w:rFonts w:ascii="Times New Roman" w:hAnsi="Times New Roman" w:cs="Times New Roman"/>
          <w:sz w:val="24"/>
          <w:szCs w:val="24"/>
        </w:rPr>
        <w:t xml:space="preserve"> </w:t>
      </w:r>
    </w:p>
    <w:p w14:paraId="5E27B4BF" w14:textId="77777777" w:rsidR="00DE4188" w:rsidRPr="009E777C" w:rsidRDefault="00DE4188" w:rsidP="00E928F5">
      <w:pPr>
        <w:jc w:val="center"/>
        <w:rPr>
          <w:rFonts w:ascii="Times New Roman" w:hAnsi="Times New Roman" w:cs="Times New Roman"/>
          <w:b/>
          <w:bCs/>
          <w:sz w:val="24"/>
          <w:szCs w:val="24"/>
          <w:u w:val="single"/>
        </w:rPr>
      </w:pPr>
    </w:p>
    <w:p w14:paraId="74CDD3C9" w14:textId="5F09BF1B" w:rsidR="003D1B75" w:rsidRDefault="00021664" w:rsidP="0052721F">
      <w:pPr>
        <w:jc w:val="center"/>
        <w:rPr>
          <w:rFonts w:ascii="Times New Roman" w:hAnsi="Times New Roman" w:cs="Times New Roman"/>
          <w:b/>
          <w:bCs/>
          <w:sz w:val="24"/>
          <w:szCs w:val="24"/>
          <w:u w:val="single"/>
        </w:rPr>
      </w:pPr>
      <w:r w:rsidRPr="009E777C">
        <w:rPr>
          <w:rFonts w:ascii="Times New Roman" w:hAnsi="Times New Roman" w:cs="Times New Roman"/>
          <w:b/>
          <w:bCs/>
          <w:sz w:val="24"/>
          <w:szCs w:val="24"/>
          <w:u w:val="single"/>
        </w:rPr>
        <w:t xml:space="preserve">Linee guida per </w:t>
      </w:r>
      <w:r w:rsidR="00F85B4F">
        <w:rPr>
          <w:rFonts w:ascii="Times New Roman" w:hAnsi="Times New Roman" w:cs="Times New Roman"/>
          <w:b/>
          <w:bCs/>
          <w:sz w:val="24"/>
          <w:szCs w:val="24"/>
          <w:u w:val="single"/>
        </w:rPr>
        <w:t xml:space="preserve">la definizione </w:t>
      </w:r>
      <w:r w:rsidR="00616423">
        <w:rPr>
          <w:rFonts w:ascii="Times New Roman" w:hAnsi="Times New Roman" w:cs="Times New Roman"/>
          <w:b/>
          <w:bCs/>
          <w:sz w:val="24"/>
          <w:szCs w:val="24"/>
          <w:u w:val="single"/>
        </w:rPr>
        <w:t xml:space="preserve">degli </w:t>
      </w:r>
      <w:r w:rsidR="0031576C">
        <w:rPr>
          <w:rFonts w:ascii="Times New Roman" w:hAnsi="Times New Roman" w:cs="Times New Roman"/>
          <w:b/>
          <w:bCs/>
          <w:sz w:val="24"/>
          <w:szCs w:val="24"/>
          <w:u w:val="single"/>
        </w:rPr>
        <w:t>“</w:t>
      </w:r>
      <w:r w:rsidR="00616423">
        <w:rPr>
          <w:rFonts w:ascii="Times New Roman" w:hAnsi="Times New Roman" w:cs="Times New Roman"/>
          <w:b/>
          <w:bCs/>
          <w:sz w:val="24"/>
          <w:szCs w:val="24"/>
          <w:u w:val="single"/>
        </w:rPr>
        <w:t>interventi</w:t>
      </w:r>
      <w:r w:rsidR="00B056E9">
        <w:rPr>
          <w:rFonts w:ascii="Times New Roman" w:hAnsi="Times New Roman" w:cs="Times New Roman"/>
          <w:b/>
          <w:bCs/>
          <w:sz w:val="24"/>
          <w:szCs w:val="24"/>
          <w:u w:val="single"/>
        </w:rPr>
        <w:t xml:space="preserve"> </w:t>
      </w:r>
      <w:r w:rsidR="00616423">
        <w:rPr>
          <w:rFonts w:ascii="Times New Roman" w:hAnsi="Times New Roman" w:cs="Times New Roman"/>
          <w:b/>
          <w:bCs/>
          <w:sz w:val="24"/>
          <w:szCs w:val="24"/>
          <w:u w:val="single"/>
        </w:rPr>
        <w:t>di</w:t>
      </w:r>
      <w:r w:rsidR="00B056E9">
        <w:rPr>
          <w:rFonts w:ascii="Times New Roman" w:hAnsi="Times New Roman" w:cs="Times New Roman"/>
          <w:b/>
          <w:bCs/>
          <w:sz w:val="24"/>
          <w:szCs w:val="24"/>
          <w:u w:val="single"/>
        </w:rPr>
        <w:t xml:space="preserve"> nuov</w:t>
      </w:r>
      <w:r w:rsidR="0052721F">
        <w:rPr>
          <w:rFonts w:ascii="Times New Roman" w:hAnsi="Times New Roman" w:cs="Times New Roman"/>
          <w:b/>
          <w:bCs/>
          <w:sz w:val="24"/>
          <w:szCs w:val="24"/>
          <w:u w:val="single"/>
        </w:rPr>
        <w:t>a</w:t>
      </w:r>
      <w:r w:rsidR="00B056E9">
        <w:rPr>
          <w:rFonts w:ascii="Times New Roman" w:hAnsi="Times New Roman" w:cs="Times New Roman"/>
          <w:b/>
          <w:bCs/>
          <w:sz w:val="24"/>
          <w:szCs w:val="24"/>
          <w:u w:val="single"/>
        </w:rPr>
        <w:t xml:space="preserve"> costruzion</w:t>
      </w:r>
      <w:r w:rsidR="0052721F">
        <w:rPr>
          <w:rFonts w:ascii="Times New Roman" w:hAnsi="Times New Roman" w:cs="Times New Roman"/>
          <w:b/>
          <w:bCs/>
          <w:sz w:val="24"/>
          <w:szCs w:val="24"/>
          <w:u w:val="single"/>
        </w:rPr>
        <w:t>e</w:t>
      </w:r>
      <w:r w:rsidR="0031576C">
        <w:rPr>
          <w:rFonts w:ascii="Times New Roman" w:hAnsi="Times New Roman" w:cs="Times New Roman"/>
          <w:b/>
          <w:bCs/>
          <w:sz w:val="24"/>
          <w:szCs w:val="24"/>
          <w:u w:val="single"/>
        </w:rPr>
        <w:t xml:space="preserve">” e per indicazioni operative in merito al rispetto del Principio Do no </w:t>
      </w:r>
      <w:proofErr w:type="spellStart"/>
      <w:r w:rsidR="0031576C">
        <w:rPr>
          <w:rFonts w:ascii="Times New Roman" w:hAnsi="Times New Roman" w:cs="Times New Roman"/>
          <w:b/>
          <w:bCs/>
          <w:sz w:val="24"/>
          <w:szCs w:val="24"/>
          <w:u w:val="single"/>
        </w:rPr>
        <w:t>significant</w:t>
      </w:r>
      <w:proofErr w:type="spellEnd"/>
      <w:r w:rsidR="0031576C">
        <w:rPr>
          <w:rFonts w:ascii="Times New Roman" w:hAnsi="Times New Roman" w:cs="Times New Roman"/>
          <w:b/>
          <w:bCs/>
          <w:sz w:val="24"/>
          <w:szCs w:val="24"/>
          <w:u w:val="single"/>
        </w:rPr>
        <w:t xml:space="preserve"> </w:t>
      </w:r>
      <w:proofErr w:type="spellStart"/>
      <w:r w:rsidR="0031576C">
        <w:rPr>
          <w:rFonts w:ascii="Times New Roman" w:hAnsi="Times New Roman" w:cs="Times New Roman"/>
          <w:b/>
          <w:bCs/>
          <w:sz w:val="24"/>
          <w:szCs w:val="24"/>
          <w:u w:val="single"/>
        </w:rPr>
        <w:t>harm</w:t>
      </w:r>
      <w:proofErr w:type="spellEnd"/>
      <w:r w:rsidR="0031576C">
        <w:rPr>
          <w:rFonts w:ascii="Times New Roman" w:hAnsi="Times New Roman" w:cs="Times New Roman"/>
          <w:b/>
          <w:bCs/>
          <w:sz w:val="24"/>
          <w:szCs w:val="24"/>
          <w:u w:val="single"/>
        </w:rPr>
        <w:t xml:space="preserve"> (cd. DNSH)</w:t>
      </w:r>
    </w:p>
    <w:p w14:paraId="3AA03BB8" w14:textId="77777777" w:rsidR="0052721F" w:rsidRPr="009E777C" w:rsidRDefault="0052721F" w:rsidP="0052721F">
      <w:pPr>
        <w:jc w:val="center"/>
        <w:rPr>
          <w:rFonts w:ascii="Times New Roman" w:hAnsi="Times New Roman" w:cs="Times New Roman"/>
          <w:b/>
          <w:bCs/>
          <w:sz w:val="24"/>
          <w:szCs w:val="24"/>
          <w:u w:val="single"/>
        </w:rPr>
      </w:pPr>
    </w:p>
    <w:p w14:paraId="5A8E9473" w14:textId="40527E3B" w:rsidR="00722E24" w:rsidRPr="009E777C" w:rsidRDefault="00722E24" w:rsidP="00722E24">
      <w:pPr>
        <w:jc w:val="both"/>
        <w:rPr>
          <w:rFonts w:ascii="Times New Roman" w:hAnsi="Times New Roman" w:cs="Times New Roman"/>
          <w:sz w:val="24"/>
          <w:szCs w:val="24"/>
        </w:rPr>
      </w:pPr>
      <w:r w:rsidRPr="009E777C">
        <w:rPr>
          <w:rFonts w:ascii="Times New Roman" w:hAnsi="Times New Roman" w:cs="Times New Roman"/>
          <w:sz w:val="24"/>
          <w:szCs w:val="24"/>
        </w:rPr>
        <w:t xml:space="preserve">Nell’individuazione </w:t>
      </w:r>
      <w:r w:rsidR="002B4801">
        <w:rPr>
          <w:rFonts w:ascii="Times New Roman" w:hAnsi="Times New Roman" w:cs="Times New Roman"/>
          <w:sz w:val="24"/>
          <w:szCs w:val="24"/>
        </w:rPr>
        <w:t>degli</w:t>
      </w:r>
      <w:r w:rsidRPr="009E777C">
        <w:rPr>
          <w:rFonts w:ascii="Times New Roman" w:hAnsi="Times New Roman" w:cs="Times New Roman"/>
          <w:sz w:val="24"/>
          <w:szCs w:val="24"/>
        </w:rPr>
        <w:t xml:space="preserve"> intervent</w:t>
      </w:r>
      <w:r w:rsidR="002B4801">
        <w:rPr>
          <w:rFonts w:ascii="Times New Roman" w:hAnsi="Times New Roman" w:cs="Times New Roman"/>
          <w:sz w:val="24"/>
          <w:szCs w:val="24"/>
        </w:rPr>
        <w:t>i identificabili</w:t>
      </w:r>
      <w:r w:rsidR="00FF7723">
        <w:rPr>
          <w:rFonts w:ascii="Times New Roman" w:hAnsi="Times New Roman" w:cs="Times New Roman"/>
          <w:sz w:val="24"/>
          <w:szCs w:val="24"/>
        </w:rPr>
        <w:t xml:space="preserve"> come “nuove costruzion</w:t>
      </w:r>
      <w:r w:rsidR="00E60260">
        <w:rPr>
          <w:rFonts w:ascii="Times New Roman" w:hAnsi="Times New Roman" w:cs="Times New Roman"/>
          <w:sz w:val="24"/>
          <w:szCs w:val="24"/>
        </w:rPr>
        <w:t>i</w:t>
      </w:r>
      <w:r w:rsidR="00FF7723">
        <w:rPr>
          <w:rFonts w:ascii="Times New Roman" w:hAnsi="Times New Roman" w:cs="Times New Roman"/>
          <w:sz w:val="24"/>
          <w:szCs w:val="24"/>
        </w:rPr>
        <w:t>”</w:t>
      </w:r>
      <w:r w:rsidRPr="009E777C">
        <w:rPr>
          <w:rFonts w:ascii="Times New Roman" w:hAnsi="Times New Roman" w:cs="Times New Roman"/>
          <w:sz w:val="24"/>
          <w:szCs w:val="24"/>
        </w:rPr>
        <w:t>, si rimanda a quanto dispost</w:t>
      </w:r>
      <w:r w:rsidR="006D160C">
        <w:rPr>
          <w:rFonts w:ascii="Times New Roman" w:hAnsi="Times New Roman" w:cs="Times New Roman"/>
          <w:sz w:val="24"/>
          <w:szCs w:val="24"/>
        </w:rPr>
        <w:t>o</w:t>
      </w:r>
      <w:r w:rsidRPr="009E777C">
        <w:rPr>
          <w:rFonts w:ascii="Times New Roman" w:hAnsi="Times New Roman" w:cs="Times New Roman"/>
          <w:sz w:val="24"/>
          <w:szCs w:val="24"/>
        </w:rPr>
        <w:t xml:space="preserve"> d</w:t>
      </w:r>
      <w:r w:rsidR="00C50660" w:rsidRPr="009E777C">
        <w:rPr>
          <w:rFonts w:ascii="Times New Roman" w:hAnsi="Times New Roman" w:cs="Times New Roman"/>
          <w:sz w:val="24"/>
          <w:szCs w:val="24"/>
        </w:rPr>
        <w:t>a</w:t>
      </w:r>
      <w:r w:rsidRPr="009E777C">
        <w:rPr>
          <w:rFonts w:ascii="Times New Roman" w:hAnsi="Times New Roman" w:cs="Times New Roman"/>
          <w:sz w:val="24"/>
          <w:szCs w:val="24"/>
        </w:rPr>
        <w:t>l D.P.R. 6 giugno 2001, n. 380, recante il “Testo unico delle disposizioni legislative e regolamentari in materia edilizia”</w:t>
      </w:r>
      <w:r w:rsidR="00FF7723">
        <w:rPr>
          <w:rFonts w:ascii="Times New Roman" w:hAnsi="Times New Roman" w:cs="Times New Roman"/>
          <w:sz w:val="24"/>
          <w:szCs w:val="24"/>
        </w:rPr>
        <w:t xml:space="preserve"> e dalla</w:t>
      </w:r>
      <w:r w:rsidR="006F1B54">
        <w:rPr>
          <w:rFonts w:ascii="Times New Roman" w:hAnsi="Times New Roman" w:cs="Times New Roman"/>
          <w:sz w:val="24"/>
          <w:szCs w:val="24"/>
        </w:rPr>
        <w:t xml:space="preserve"> </w:t>
      </w:r>
      <w:r w:rsidR="006F1B54" w:rsidRPr="00D3718B">
        <w:rPr>
          <w:rFonts w:ascii="Times New Roman" w:hAnsi="Times New Roman" w:cs="Times New Roman"/>
          <w:sz w:val="24"/>
          <w:szCs w:val="24"/>
        </w:rPr>
        <w:t>Direttiva (UE) 2024/1275 del Parlamento europeo e del Consiglio, del 24 aprile 2024, sulla prestazione energetica nell’edilizia</w:t>
      </w:r>
      <w:r w:rsidR="006F1B54">
        <w:rPr>
          <w:rFonts w:ascii="Times New Roman" w:hAnsi="Times New Roman" w:cs="Times New Roman"/>
          <w:sz w:val="24"/>
          <w:szCs w:val="24"/>
        </w:rPr>
        <w:t xml:space="preserve"> (</w:t>
      </w:r>
      <w:r w:rsidR="00922FB3">
        <w:rPr>
          <w:rFonts w:ascii="Times New Roman" w:hAnsi="Times New Roman" w:cs="Times New Roman"/>
          <w:sz w:val="24"/>
          <w:szCs w:val="24"/>
        </w:rPr>
        <w:t xml:space="preserve">di seguito “Direttiva </w:t>
      </w:r>
      <w:r w:rsidR="006F1B54">
        <w:rPr>
          <w:rFonts w:ascii="Times New Roman" w:hAnsi="Times New Roman" w:cs="Times New Roman"/>
          <w:sz w:val="24"/>
          <w:szCs w:val="24"/>
        </w:rPr>
        <w:t>EPBD</w:t>
      </w:r>
      <w:r w:rsidR="00922FB3">
        <w:rPr>
          <w:rFonts w:ascii="Times New Roman" w:hAnsi="Times New Roman" w:cs="Times New Roman"/>
          <w:sz w:val="24"/>
          <w:szCs w:val="24"/>
        </w:rPr>
        <w:t>”</w:t>
      </w:r>
      <w:r w:rsidR="006F1B54">
        <w:rPr>
          <w:rFonts w:ascii="Times New Roman" w:hAnsi="Times New Roman" w:cs="Times New Roman"/>
          <w:sz w:val="24"/>
          <w:szCs w:val="24"/>
        </w:rPr>
        <w:t>)</w:t>
      </w:r>
      <w:r w:rsidR="006F1B54" w:rsidRPr="00781E9E">
        <w:rPr>
          <w:rFonts w:ascii="Times New Roman" w:hAnsi="Times New Roman" w:cs="Times New Roman"/>
          <w:sz w:val="24"/>
          <w:szCs w:val="24"/>
        </w:rPr>
        <w:t>, pubblicata in Gazzetta Ufficiale dell’Unione Europea in data 8 maggio</w:t>
      </w:r>
      <w:r w:rsidR="00B457F1">
        <w:rPr>
          <w:rFonts w:ascii="Times New Roman" w:hAnsi="Times New Roman" w:cs="Times New Roman"/>
          <w:sz w:val="24"/>
          <w:szCs w:val="24"/>
        </w:rPr>
        <w:t xml:space="preserve"> 2024</w:t>
      </w:r>
      <w:r w:rsidRPr="009E777C">
        <w:rPr>
          <w:rFonts w:ascii="Times New Roman" w:hAnsi="Times New Roman" w:cs="Times New Roman"/>
          <w:sz w:val="24"/>
          <w:szCs w:val="24"/>
        </w:rPr>
        <w:t>.</w:t>
      </w:r>
    </w:p>
    <w:p w14:paraId="20106126" w14:textId="0EA0A568" w:rsidR="00C50660" w:rsidRPr="00EF649D" w:rsidRDefault="00C50660" w:rsidP="00C50660">
      <w:pPr>
        <w:jc w:val="both"/>
        <w:rPr>
          <w:rFonts w:ascii="Times New Roman" w:hAnsi="Times New Roman" w:cs="Times New Roman"/>
          <w:sz w:val="24"/>
          <w:szCs w:val="24"/>
        </w:rPr>
      </w:pPr>
      <w:r w:rsidRPr="009E777C">
        <w:rPr>
          <w:rFonts w:ascii="Times New Roman" w:hAnsi="Times New Roman" w:cs="Times New Roman"/>
          <w:sz w:val="24"/>
          <w:szCs w:val="24"/>
        </w:rPr>
        <w:t>Nello specifico</w:t>
      </w:r>
      <w:r w:rsidR="00EF649D">
        <w:rPr>
          <w:rFonts w:ascii="Times New Roman" w:hAnsi="Times New Roman" w:cs="Times New Roman"/>
          <w:sz w:val="24"/>
          <w:szCs w:val="24"/>
        </w:rPr>
        <w:t>,</w:t>
      </w:r>
      <w:r w:rsidR="00E13D93">
        <w:rPr>
          <w:rFonts w:ascii="Times New Roman" w:hAnsi="Times New Roman" w:cs="Times New Roman"/>
          <w:sz w:val="24"/>
          <w:szCs w:val="24"/>
        </w:rPr>
        <w:t xml:space="preserve"> al fine di individuare gli interventi di nuova costruzione, </w:t>
      </w:r>
      <w:r w:rsidR="00847F13">
        <w:rPr>
          <w:rFonts w:ascii="Times New Roman" w:hAnsi="Times New Roman" w:cs="Times New Roman"/>
          <w:sz w:val="24"/>
          <w:szCs w:val="24"/>
        </w:rPr>
        <w:t xml:space="preserve">il riferimento è </w:t>
      </w:r>
      <w:r w:rsidR="00EF649D">
        <w:rPr>
          <w:rFonts w:ascii="Times New Roman" w:hAnsi="Times New Roman" w:cs="Times New Roman"/>
          <w:sz w:val="24"/>
          <w:szCs w:val="24"/>
        </w:rPr>
        <w:t>l’art</w:t>
      </w:r>
      <w:r w:rsidRPr="009E777C">
        <w:rPr>
          <w:rFonts w:ascii="Times New Roman" w:hAnsi="Times New Roman" w:cs="Times New Roman"/>
          <w:sz w:val="24"/>
          <w:szCs w:val="24"/>
        </w:rPr>
        <w:t xml:space="preserve">. 3, comma 1, lett. </w:t>
      </w:r>
      <w:r w:rsidR="00466C5B">
        <w:rPr>
          <w:rFonts w:ascii="Times New Roman" w:hAnsi="Times New Roman" w:cs="Times New Roman"/>
          <w:sz w:val="24"/>
          <w:szCs w:val="24"/>
        </w:rPr>
        <w:t>e)</w:t>
      </w:r>
      <w:r w:rsidRPr="009E777C">
        <w:rPr>
          <w:rFonts w:ascii="Times New Roman" w:hAnsi="Times New Roman" w:cs="Times New Roman"/>
          <w:sz w:val="24"/>
          <w:szCs w:val="24"/>
        </w:rPr>
        <w:t xml:space="preserve"> del D.P.R. 6 giugno 2001, n. 380, </w:t>
      </w:r>
      <w:r w:rsidR="00803FAA">
        <w:rPr>
          <w:rFonts w:ascii="Times New Roman" w:hAnsi="Times New Roman" w:cs="Times New Roman"/>
          <w:sz w:val="24"/>
          <w:szCs w:val="24"/>
        </w:rPr>
        <w:t xml:space="preserve">che </w:t>
      </w:r>
      <w:r w:rsidR="00A13896">
        <w:rPr>
          <w:rFonts w:ascii="Times New Roman" w:hAnsi="Times New Roman" w:cs="Times New Roman"/>
          <w:sz w:val="24"/>
          <w:szCs w:val="24"/>
        </w:rPr>
        <w:t>fornisce l</w:t>
      </w:r>
      <w:r w:rsidR="00466C5B">
        <w:rPr>
          <w:rFonts w:ascii="Times New Roman" w:hAnsi="Times New Roman" w:cs="Times New Roman"/>
          <w:sz w:val="24"/>
          <w:szCs w:val="24"/>
        </w:rPr>
        <w:t>a</w:t>
      </w:r>
      <w:r w:rsidR="00A13896">
        <w:rPr>
          <w:rFonts w:ascii="Times New Roman" w:hAnsi="Times New Roman" w:cs="Times New Roman"/>
          <w:sz w:val="24"/>
          <w:szCs w:val="24"/>
        </w:rPr>
        <w:t xml:space="preserve"> </w:t>
      </w:r>
      <w:r w:rsidR="00AF4A19">
        <w:rPr>
          <w:rFonts w:ascii="Times New Roman" w:hAnsi="Times New Roman" w:cs="Times New Roman"/>
          <w:sz w:val="24"/>
          <w:szCs w:val="24"/>
        </w:rPr>
        <w:t>seguent</w:t>
      </w:r>
      <w:r w:rsidR="00466C5B">
        <w:rPr>
          <w:rFonts w:ascii="Times New Roman" w:hAnsi="Times New Roman" w:cs="Times New Roman"/>
          <w:sz w:val="24"/>
          <w:szCs w:val="24"/>
        </w:rPr>
        <w:t>e</w:t>
      </w:r>
      <w:r w:rsidR="00AF4A19">
        <w:rPr>
          <w:rFonts w:ascii="Times New Roman" w:hAnsi="Times New Roman" w:cs="Times New Roman"/>
          <w:sz w:val="24"/>
          <w:szCs w:val="24"/>
        </w:rPr>
        <w:t xml:space="preserve"> </w:t>
      </w:r>
      <w:r w:rsidR="00A13896">
        <w:rPr>
          <w:rFonts w:ascii="Times New Roman" w:hAnsi="Times New Roman" w:cs="Times New Roman"/>
          <w:sz w:val="24"/>
          <w:szCs w:val="24"/>
        </w:rPr>
        <w:t>definizion</w:t>
      </w:r>
      <w:r w:rsidR="00466C5B">
        <w:rPr>
          <w:rFonts w:ascii="Times New Roman" w:hAnsi="Times New Roman" w:cs="Times New Roman"/>
          <w:sz w:val="24"/>
          <w:szCs w:val="24"/>
        </w:rPr>
        <w:t>e</w:t>
      </w:r>
      <w:r w:rsidR="00A13896">
        <w:rPr>
          <w:rFonts w:ascii="Times New Roman" w:hAnsi="Times New Roman" w:cs="Times New Roman"/>
          <w:sz w:val="24"/>
          <w:szCs w:val="24"/>
        </w:rPr>
        <w:t xml:space="preserve"> di “interventi di nuova costruzione”</w:t>
      </w:r>
      <w:r w:rsidRPr="009E777C">
        <w:rPr>
          <w:rFonts w:ascii="Times New Roman" w:hAnsi="Times New Roman" w:cs="Times New Roman"/>
          <w:sz w:val="24"/>
          <w:szCs w:val="24"/>
        </w:rPr>
        <w:t>:</w:t>
      </w:r>
      <w:r w:rsidRPr="009E777C">
        <w:t xml:space="preserve"> </w:t>
      </w:r>
    </w:p>
    <w:p w14:paraId="24A42C41" w14:textId="2975FE4D" w:rsidR="00CB2776" w:rsidRPr="00CB2776" w:rsidRDefault="00C50660" w:rsidP="00E60260">
      <w:pPr>
        <w:ind w:left="851" w:right="707"/>
        <w:jc w:val="both"/>
        <w:rPr>
          <w:rFonts w:ascii="Times New Roman" w:hAnsi="Times New Roman" w:cs="Times New Roman"/>
          <w:i/>
          <w:iCs/>
          <w:sz w:val="24"/>
          <w:szCs w:val="24"/>
        </w:rPr>
      </w:pPr>
      <w:proofErr w:type="gramStart"/>
      <w:r w:rsidRPr="009E777C">
        <w:rPr>
          <w:rFonts w:ascii="Times New Roman" w:hAnsi="Times New Roman" w:cs="Times New Roman"/>
          <w:i/>
          <w:iCs/>
          <w:sz w:val="24"/>
          <w:szCs w:val="24"/>
        </w:rPr>
        <w:t>..</w:t>
      </w:r>
      <w:proofErr w:type="gramEnd"/>
      <w:r w:rsidRPr="009E777C">
        <w:rPr>
          <w:rFonts w:ascii="Times New Roman" w:hAnsi="Times New Roman" w:cs="Times New Roman"/>
          <w:i/>
          <w:iCs/>
          <w:sz w:val="24"/>
          <w:szCs w:val="24"/>
        </w:rPr>
        <w:t>“</w:t>
      </w:r>
      <w:r w:rsidR="00CB2776" w:rsidRPr="00CB2776">
        <w:rPr>
          <w:rFonts w:ascii="Times New Roman" w:hAnsi="Times New Roman" w:cs="Times New Roman"/>
          <w:i/>
          <w:iCs/>
          <w:sz w:val="24"/>
          <w:szCs w:val="24"/>
        </w:rPr>
        <w:t>quelli di trasformazione edilizia e urbanistica del territorio non rientranti nelle categorie definite alle lettere precedenti. Sono comunque da considerarsi tali:</w:t>
      </w:r>
    </w:p>
    <w:p w14:paraId="49427F4C" w14:textId="77777777" w:rsidR="00CB2776" w:rsidRPr="00CB2776" w:rsidRDefault="00CB2776" w:rsidP="00E60260">
      <w:pPr>
        <w:ind w:left="851" w:right="707"/>
        <w:jc w:val="both"/>
        <w:rPr>
          <w:rFonts w:ascii="Times New Roman" w:hAnsi="Times New Roman" w:cs="Times New Roman"/>
          <w:i/>
          <w:iCs/>
          <w:sz w:val="24"/>
          <w:szCs w:val="24"/>
        </w:rPr>
      </w:pPr>
      <w:r w:rsidRPr="00CB2776">
        <w:rPr>
          <w:rFonts w:ascii="Times New Roman" w:hAnsi="Times New Roman" w:cs="Times New Roman"/>
          <w:i/>
          <w:iCs/>
          <w:sz w:val="24"/>
          <w:szCs w:val="24"/>
        </w:rPr>
        <w:t>e.1) la costruzione di manufatti edilizi fuori terra o interrati, ovvero l'ampliamento di quelli esistenti all'esterno della sagoma esistente, fermo restando, per gli interventi pertinenziali, quanto previsto alla lettera e.6);</w:t>
      </w:r>
    </w:p>
    <w:p w14:paraId="171A5D9B" w14:textId="77777777" w:rsidR="00CB2776" w:rsidRPr="00CB2776" w:rsidRDefault="00CB2776" w:rsidP="00E60260">
      <w:pPr>
        <w:ind w:left="851" w:right="707"/>
        <w:jc w:val="both"/>
        <w:rPr>
          <w:rFonts w:ascii="Times New Roman" w:hAnsi="Times New Roman" w:cs="Times New Roman"/>
          <w:i/>
          <w:iCs/>
          <w:sz w:val="24"/>
          <w:szCs w:val="24"/>
        </w:rPr>
      </w:pPr>
      <w:r w:rsidRPr="00CB2776">
        <w:rPr>
          <w:rFonts w:ascii="Times New Roman" w:hAnsi="Times New Roman" w:cs="Times New Roman"/>
          <w:i/>
          <w:iCs/>
          <w:sz w:val="24"/>
          <w:szCs w:val="24"/>
        </w:rPr>
        <w:t>e.2) gli interventi di urbanizzazione primaria e secondaria realizzati da soggetti diversi dal comune;</w:t>
      </w:r>
    </w:p>
    <w:p w14:paraId="6985B25D" w14:textId="77777777" w:rsidR="00CB2776" w:rsidRPr="00CB2776" w:rsidRDefault="00CB2776" w:rsidP="00E60260">
      <w:pPr>
        <w:ind w:left="851" w:right="707"/>
        <w:jc w:val="both"/>
        <w:rPr>
          <w:rFonts w:ascii="Times New Roman" w:hAnsi="Times New Roman" w:cs="Times New Roman"/>
          <w:i/>
          <w:iCs/>
          <w:sz w:val="24"/>
          <w:szCs w:val="24"/>
        </w:rPr>
      </w:pPr>
      <w:r w:rsidRPr="00CB2776">
        <w:rPr>
          <w:rFonts w:ascii="Times New Roman" w:hAnsi="Times New Roman" w:cs="Times New Roman"/>
          <w:i/>
          <w:iCs/>
          <w:sz w:val="24"/>
          <w:szCs w:val="24"/>
        </w:rPr>
        <w:t>e.3) la realizzazione di infrastrutture e di impianti, anche per pubblici servizi, che comporti la trasformazione in via permanente di suolo inedificato;</w:t>
      </w:r>
    </w:p>
    <w:p w14:paraId="49187652" w14:textId="77777777" w:rsidR="00CB2776" w:rsidRPr="00CB2776" w:rsidRDefault="00CB2776" w:rsidP="00E60260">
      <w:pPr>
        <w:ind w:left="851" w:right="707"/>
        <w:jc w:val="both"/>
        <w:rPr>
          <w:rFonts w:ascii="Times New Roman" w:hAnsi="Times New Roman" w:cs="Times New Roman"/>
          <w:i/>
          <w:iCs/>
          <w:sz w:val="24"/>
          <w:szCs w:val="24"/>
        </w:rPr>
      </w:pPr>
      <w:r w:rsidRPr="00CB2776">
        <w:rPr>
          <w:rFonts w:ascii="Times New Roman" w:hAnsi="Times New Roman" w:cs="Times New Roman"/>
          <w:i/>
          <w:iCs/>
          <w:sz w:val="24"/>
          <w:szCs w:val="24"/>
        </w:rPr>
        <w:t>e.4) l'installazione di torri e tralicci per impianti radio-ricetrasmittenti e di ripetitori per i servizi di telecomunicazione;</w:t>
      </w:r>
    </w:p>
    <w:p w14:paraId="4A800E24" w14:textId="77777777" w:rsidR="00CB2776" w:rsidRPr="00CB2776" w:rsidRDefault="00CB2776" w:rsidP="00E60260">
      <w:pPr>
        <w:ind w:left="851" w:right="707"/>
        <w:jc w:val="both"/>
        <w:rPr>
          <w:rFonts w:ascii="Times New Roman" w:hAnsi="Times New Roman" w:cs="Times New Roman"/>
          <w:i/>
          <w:iCs/>
          <w:sz w:val="24"/>
          <w:szCs w:val="24"/>
        </w:rPr>
      </w:pPr>
      <w:r w:rsidRPr="00CB2776">
        <w:rPr>
          <w:rFonts w:ascii="Times New Roman" w:hAnsi="Times New Roman" w:cs="Times New Roman"/>
          <w:i/>
          <w:iCs/>
          <w:sz w:val="24"/>
          <w:szCs w:val="24"/>
        </w:rPr>
        <w:t xml:space="preserve">e.5) l'installazione di manufatti leggeri, anche prefabbricati, e di strutture di qualsiasi genere, quali roulotte, camper, case mobili, imbarcazioni, che siano utilizzati come abitazioni, ambienti di lavoro, oppure come depositi, magazzini e simili, ad eccezione di quelli che siano diretti a soddisfare esigenze meramente temporanee o delle tende e delle unità abitative mobili con meccanismi di rotazione in funzione, e loro pertinenze e accessori, che siano collocate, anche in via continuativa, in strutture ricettive all'aperto per la sosta e il soggiorno dei turisti previamente autorizzate sotto il profilo urbanistico, edilizio e, ove previsto, </w:t>
      </w:r>
      <w:r w:rsidRPr="00CB2776">
        <w:rPr>
          <w:rFonts w:ascii="Times New Roman" w:hAnsi="Times New Roman" w:cs="Times New Roman"/>
          <w:i/>
          <w:iCs/>
          <w:sz w:val="24"/>
          <w:szCs w:val="24"/>
        </w:rPr>
        <w:lastRenderedPageBreak/>
        <w:t>paesaggistico, che non posseggano alcun collegamento di natura permanente al terreno e presentino le caratteristiche dimensionali e tecnico-costruttive previste dalle normative regionali di settore ove esistenti; (27)</w:t>
      </w:r>
    </w:p>
    <w:p w14:paraId="2DAB5990" w14:textId="77777777" w:rsidR="00CB2776" w:rsidRPr="00CB2776" w:rsidRDefault="00CB2776" w:rsidP="00E60260">
      <w:pPr>
        <w:ind w:left="851" w:right="707"/>
        <w:jc w:val="both"/>
        <w:rPr>
          <w:rFonts w:ascii="Times New Roman" w:hAnsi="Times New Roman" w:cs="Times New Roman"/>
          <w:i/>
          <w:iCs/>
          <w:sz w:val="24"/>
          <w:szCs w:val="24"/>
        </w:rPr>
      </w:pPr>
      <w:r w:rsidRPr="00CB2776">
        <w:rPr>
          <w:rFonts w:ascii="Times New Roman" w:hAnsi="Times New Roman" w:cs="Times New Roman"/>
          <w:i/>
          <w:iCs/>
          <w:sz w:val="24"/>
          <w:szCs w:val="24"/>
        </w:rPr>
        <w:t>e.6) gli 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14:paraId="2F4A4AF8" w14:textId="42978E78" w:rsidR="00C50660" w:rsidRDefault="00CB2776" w:rsidP="00E60260">
      <w:pPr>
        <w:ind w:left="851" w:right="707"/>
        <w:jc w:val="both"/>
        <w:rPr>
          <w:rFonts w:ascii="Times New Roman" w:hAnsi="Times New Roman" w:cs="Times New Roman"/>
          <w:i/>
          <w:iCs/>
          <w:sz w:val="24"/>
          <w:szCs w:val="24"/>
        </w:rPr>
      </w:pPr>
      <w:r w:rsidRPr="00CB2776">
        <w:rPr>
          <w:rFonts w:ascii="Times New Roman" w:hAnsi="Times New Roman" w:cs="Times New Roman"/>
          <w:i/>
          <w:iCs/>
          <w:sz w:val="24"/>
          <w:szCs w:val="24"/>
        </w:rPr>
        <w:t>e.7) la realizzazione di depositi di merci o di materiali, la realizzazione di impianti per attività produttive all'aperto ove comportino l'esecuzione di lavori cui consegua la trasformazione permanente del suolo inedificato</w:t>
      </w:r>
    </w:p>
    <w:p w14:paraId="55F15ADB" w14:textId="77777777" w:rsidR="009C737C" w:rsidRDefault="009C737C" w:rsidP="00E92BDB">
      <w:pPr>
        <w:ind w:right="-1"/>
        <w:jc w:val="both"/>
        <w:rPr>
          <w:rFonts w:ascii="Times New Roman" w:hAnsi="Times New Roman" w:cs="Times New Roman"/>
          <w:sz w:val="24"/>
          <w:szCs w:val="24"/>
        </w:rPr>
      </w:pPr>
    </w:p>
    <w:p w14:paraId="23748F0F" w14:textId="54FDCD5F" w:rsidR="00781E9E" w:rsidRDefault="00BC1B43" w:rsidP="00E92BDB">
      <w:pPr>
        <w:ind w:right="-1"/>
        <w:jc w:val="both"/>
        <w:rPr>
          <w:rFonts w:ascii="Times New Roman" w:hAnsi="Times New Roman" w:cs="Times New Roman"/>
          <w:sz w:val="24"/>
          <w:szCs w:val="24"/>
        </w:rPr>
      </w:pPr>
      <w:r>
        <w:rPr>
          <w:rFonts w:ascii="Times New Roman" w:hAnsi="Times New Roman" w:cs="Times New Roman"/>
          <w:sz w:val="24"/>
          <w:szCs w:val="24"/>
        </w:rPr>
        <w:t>Si sottolinea</w:t>
      </w:r>
      <w:r w:rsidR="00E60260">
        <w:rPr>
          <w:rFonts w:ascii="Times New Roman" w:hAnsi="Times New Roman" w:cs="Times New Roman"/>
          <w:sz w:val="24"/>
          <w:szCs w:val="24"/>
        </w:rPr>
        <w:t xml:space="preserve"> </w:t>
      </w:r>
      <w:r>
        <w:rPr>
          <w:rFonts w:ascii="Times New Roman" w:hAnsi="Times New Roman" w:cs="Times New Roman"/>
          <w:sz w:val="24"/>
          <w:szCs w:val="24"/>
        </w:rPr>
        <w:t>che</w:t>
      </w:r>
      <w:r w:rsidR="00331C18">
        <w:rPr>
          <w:rFonts w:ascii="Times New Roman" w:hAnsi="Times New Roman" w:cs="Times New Roman"/>
          <w:sz w:val="24"/>
          <w:szCs w:val="24"/>
        </w:rPr>
        <w:t xml:space="preserve"> le proposte </w:t>
      </w:r>
      <w:r w:rsidR="009268AC">
        <w:rPr>
          <w:rFonts w:ascii="Times New Roman" w:hAnsi="Times New Roman" w:cs="Times New Roman"/>
          <w:sz w:val="24"/>
          <w:szCs w:val="24"/>
        </w:rPr>
        <w:t xml:space="preserve">progettuali presentate </w:t>
      </w:r>
      <w:r w:rsidR="00331C18">
        <w:rPr>
          <w:rFonts w:ascii="Times New Roman" w:hAnsi="Times New Roman" w:cs="Times New Roman"/>
          <w:sz w:val="24"/>
          <w:szCs w:val="24"/>
        </w:rPr>
        <w:t xml:space="preserve">dovranno </w:t>
      </w:r>
      <w:r w:rsidR="009268AC">
        <w:rPr>
          <w:rFonts w:ascii="Times New Roman" w:hAnsi="Times New Roman" w:cs="Times New Roman"/>
          <w:sz w:val="24"/>
          <w:szCs w:val="24"/>
        </w:rPr>
        <w:t xml:space="preserve">necessariamente </w:t>
      </w:r>
      <w:r w:rsidR="00331C18">
        <w:rPr>
          <w:rFonts w:ascii="Times New Roman" w:hAnsi="Times New Roman" w:cs="Times New Roman"/>
          <w:sz w:val="24"/>
          <w:szCs w:val="24"/>
        </w:rPr>
        <w:t xml:space="preserve">prevedere la </w:t>
      </w:r>
      <w:r w:rsidR="009268AC">
        <w:rPr>
          <w:rFonts w:ascii="Times New Roman" w:hAnsi="Times New Roman" w:cs="Times New Roman"/>
          <w:sz w:val="24"/>
          <w:szCs w:val="24"/>
        </w:rPr>
        <w:t>realizzazione di nuovi edifici</w:t>
      </w:r>
      <w:r w:rsidR="002A1119">
        <w:rPr>
          <w:rFonts w:ascii="Times New Roman" w:hAnsi="Times New Roman" w:cs="Times New Roman"/>
          <w:sz w:val="24"/>
          <w:szCs w:val="24"/>
        </w:rPr>
        <w:t xml:space="preserve">, che garantiscano un </w:t>
      </w:r>
      <w:r w:rsidR="002A1119" w:rsidRPr="00E60260">
        <w:rPr>
          <w:rFonts w:ascii="Times New Roman" w:hAnsi="Times New Roman" w:cs="Times New Roman"/>
          <w:sz w:val="24"/>
          <w:szCs w:val="24"/>
          <w:u w:val="single"/>
        </w:rPr>
        <w:t>fabbisogno globale di energia primaria inferiore di almeno il 20% rispetto agli edifici a energia quasi zero (NZEB)</w:t>
      </w:r>
      <w:r w:rsidR="002A1119">
        <w:rPr>
          <w:rFonts w:ascii="Times New Roman" w:hAnsi="Times New Roman" w:cs="Times New Roman"/>
          <w:sz w:val="24"/>
          <w:szCs w:val="24"/>
        </w:rPr>
        <w:t xml:space="preserve">. </w:t>
      </w:r>
      <w:r w:rsidR="004D5CFF">
        <w:rPr>
          <w:rFonts w:ascii="Times New Roman" w:hAnsi="Times New Roman" w:cs="Times New Roman"/>
          <w:sz w:val="24"/>
          <w:szCs w:val="24"/>
        </w:rPr>
        <w:t>Si rimanda, pertanto, all</w:t>
      </w:r>
      <w:r>
        <w:rPr>
          <w:rFonts w:ascii="Times New Roman" w:hAnsi="Times New Roman" w:cs="Times New Roman"/>
          <w:sz w:val="24"/>
          <w:szCs w:val="24"/>
        </w:rPr>
        <w:t>a</w:t>
      </w:r>
      <w:r w:rsidR="00781E9E" w:rsidRPr="00781E9E">
        <w:rPr>
          <w:rFonts w:ascii="Times New Roman" w:hAnsi="Times New Roman" w:cs="Times New Roman"/>
          <w:sz w:val="24"/>
          <w:szCs w:val="24"/>
        </w:rPr>
        <w:t xml:space="preserve"> </w:t>
      </w:r>
      <w:r w:rsidR="006F1B54">
        <w:rPr>
          <w:rFonts w:ascii="Times New Roman" w:hAnsi="Times New Roman" w:cs="Times New Roman"/>
          <w:sz w:val="24"/>
          <w:szCs w:val="24"/>
        </w:rPr>
        <w:t>Direttiva EPBD</w:t>
      </w:r>
      <w:r w:rsidR="006F1B54" w:rsidRPr="000D4D81">
        <w:rPr>
          <w:rFonts w:ascii="Times New Roman" w:hAnsi="Times New Roman" w:cs="Times New Roman"/>
          <w:sz w:val="24"/>
          <w:szCs w:val="24"/>
        </w:rPr>
        <w:t>, pubblicata in GUUE dell’8 maggio 2024</w:t>
      </w:r>
      <w:r w:rsidR="00781E9E">
        <w:rPr>
          <w:rFonts w:ascii="Times New Roman" w:hAnsi="Times New Roman" w:cs="Times New Roman"/>
          <w:sz w:val="24"/>
          <w:szCs w:val="24"/>
        </w:rPr>
        <w:t xml:space="preserve">, </w:t>
      </w:r>
      <w:r w:rsidR="004D5CFF">
        <w:rPr>
          <w:rFonts w:ascii="Times New Roman" w:hAnsi="Times New Roman" w:cs="Times New Roman"/>
          <w:sz w:val="24"/>
          <w:szCs w:val="24"/>
        </w:rPr>
        <w:t xml:space="preserve">che </w:t>
      </w:r>
      <w:r>
        <w:rPr>
          <w:rFonts w:ascii="Times New Roman" w:hAnsi="Times New Roman" w:cs="Times New Roman"/>
          <w:sz w:val="24"/>
          <w:szCs w:val="24"/>
        </w:rPr>
        <w:t>fornisce</w:t>
      </w:r>
      <w:r w:rsidR="00285E90">
        <w:rPr>
          <w:rFonts w:ascii="Times New Roman" w:hAnsi="Times New Roman" w:cs="Times New Roman"/>
          <w:sz w:val="24"/>
          <w:szCs w:val="24"/>
        </w:rPr>
        <w:t xml:space="preserve"> all’articolo </w:t>
      </w:r>
      <w:r w:rsidR="004D5CFF">
        <w:rPr>
          <w:rFonts w:ascii="Times New Roman" w:hAnsi="Times New Roman" w:cs="Times New Roman"/>
          <w:sz w:val="24"/>
          <w:szCs w:val="24"/>
        </w:rPr>
        <w:t>2, tra le altre, le seguenti definizioni:</w:t>
      </w:r>
    </w:p>
    <w:p w14:paraId="1F1579A7" w14:textId="341E1CFE" w:rsidR="008018A5" w:rsidRPr="008018A5" w:rsidRDefault="008018A5" w:rsidP="008018A5">
      <w:pPr>
        <w:ind w:left="851" w:right="849"/>
        <w:jc w:val="both"/>
        <w:rPr>
          <w:rFonts w:ascii="Times New Roman" w:hAnsi="Times New Roman" w:cs="Times New Roman"/>
          <w:i/>
          <w:iCs/>
          <w:sz w:val="24"/>
          <w:szCs w:val="24"/>
        </w:rPr>
      </w:pPr>
    </w:p>
    <w:p w14:paraId="1EF21DCF" w14:textId="11285BBB" w:rsidR="008018A5" w:rsidRPr="008018A5" w:rsidRDefault="008018A5" w:rsidP="00E60260">
      <w:pPr>
        <w:ind w:left="851" w:right="566"/>
        <w:jc w:val="both"/>
        <w:rPr>
          <w:rFonts w:ascii="Times New Roman" w:hAnsi="Times New Roman" w:cs="Times New Roman"/>
          <w:i/>
          <w:iCs/>
          <w:sz w:val="24"/>
          <w:szCs w:val="24"/>
        </w:rPr>
      </w:pPr>
      <w:r w:rsidRPr="008018A5">
        <w:rPr>
          <w:rFonts w:ascii="Times New Roman" w:hAnsi="Times New Roman" w:cs="Times New Roman"/>
          <w:i/>
          <w:iCs/>
          <w:sz w:val="24"/>
          <w:szCs w:val="24"/>
        </w:rPr>
        <w:t>1)</w:t>
      </w:r>
      <w:r>
        <w:rPr>
          <w:rFonts w:ascii="Times New Roman" w:hAnsi="Times New Roman" w:cs="Times New Roman"/>
          <w:i/>
          <w:iCs/>
          <w:sz w:val="24"/>
          <w:szCs w:val="24"/>
        </w:rPr>
        <w:t xml:space="preserve"> </w:t>
      </w:r>
      <w:r w:rsidRPr="008018A5">
        <w:rPr>
          <w:rFonts w:ascii="Times New Roman" w:hAnsi="Times New Roman" w:cs="Times New Roman"/>
          <w:i/>
          <w:iCs/>
          <w:sz w:val="24"/>
          <w:szCs w:val="24"/>
        </w:rPr>
        <w:t>«edificio»: una costruzione provvista di tetto e di muri, per la quale l’energia è utilizzata per il condizionamento degli ambienti interni;</w:t>
      </w:r>
    </w:p>
    <w:p w14:paraId="27026E33" w14:textId="4EDA2CCB" w:rsidR="008018A5" w:rsidRPr="008018A5" w:rsidRDefault="008E119D" w:rsidP="008018A5">
      <w:pPr>
        <w:ind w:left="851" w:right="849"/>
        <w:jc w:val="both"/>
        <w:rPr>
          <w:rFonts w:ascii="Times New Roman" w:hAnsi="Times New Roman" w:cs="Times New Roman"/>
          <w:i/>
          <w:iCs/>
          <w:sz w:val="24"/>
          <w:szCs w:val="24"/>
        </w:rPr>
      </w:pPr>
      <w:r>
        <w:rPr>
          <w:rFonts w:ascii="Times New Roman" w:hAnsi="Times New Roman" w:cs="Times New Roman"/>
          <w:i/>
          <w:iCs/>
          <w:sz w:val="24"/>
          <w:szCs w:val="24"/>
        </w:rPr>
        <w:t>[…]</w:t>
      </w:r>
    </w:p>
    <w:p w14:paraId="66165EC8" w14:textId="77777777" w:rsidR="008018A5" w:rsidRDefault="008018A5" w:rsidP="00E60260">
      <w:pPr>
        <w:ind w:left="851" w:right="566"/>
        <w:jc w:val="both"/>
        <w:rPr>
          <w:rFonts w:ascii="Times New Roman" w:hAnsi="Times New Roman" w:cs="Times New Roman"/>
          <w:i/>
          <w:iCs/>
          <w:sz w:val="24"/>
          <w:szCs w:val="24"/>
        </w:rPr>
      </w:pPr>
      <w:r w:rsidRPr="008018A5">
        <w:rPr>
          <w:rFonts w:ascii="Times New Roman" w:hAnsi="Times New Roman" w:cs="Times New Roman"/>
          <w:i/>
          <w:iCs/>
          <w:sz w:val="24"/>
          <w:szCs w:val="24"/>
        </w:rPr>
        <w:t>3)</w:t>
      </w:r>
      <w:r>
        <w:rPr>
          <w:rFonts w:ascii="Times New Roman" w:hAnsi="Times New Roman" w:cs="Times New Roman"/>
          <w:i/>
          <w:iCs/>
          <w:sz w:val="24"/>
          <w:szCs w:val="24"/>
        </w:rPr>
        <w:t xml:space="preserve"> </w:t>
      </w:r>
      <w:r w:rsidRPr="008018A5">
        <w:rPr>
          <w:rFonts w:ascii="Times New Roman" w:hAnsi="Times New Roman" w:cs="Times New Roman"/>
          <w:i/>
          <w:iCs/>
          <w:sz w:val="24"/>
          <w:szCs w:val="24"/>
        </w:rPr>
        <w:t>«edificio a energia quasi zero»: un edificio ad altissima prestazione energetica, determinata conformemente all’allegato I, che non è peggiore del livello ottimale in funzione dei costi per il 2023 comunicato dagli Stati membri a norma dell’articolo 6, paragrafo 2, nel quale il fabbisogno energetico molto basso o quasi nullo è coperto in misura molto significativa da energia da fonti rinnovabili, compresa l’energia da fonti rinnovabili prodotta in loco o l’energia da fonti rinnovabili prodotta nelle vicinanze;</w:t>
      </w:r>
    </w:p>
    <w:p w14:paraId="53767E79" w14:textId="77777777" w:rsidR="001E7179" w:rsidRDefault="001E7179" w:rsidP="008018A5">
      <w:pPr>
        <w:ind w:left="851" w:right="849"/>
        <w:jc w:val="both"/>
        <w:rPr>
          <w:rFonts w:ascii="Times New Roman" w:hAnsi="Times New Roman" w:cs="Times New Roman"/>
          <w:i/>
          <w:iCs/>
          <w:sz w:val="24"/>
          <w:szCs w:val="24"/>
        </w:rPr>
      </w:pPr>
    </w:p>
    <w:p w14:paraId="56F43EF1" w14:textId="2F10166A" w:rsidR="00EB2CE7" w:rsidRDefault="00B32878" w:rsidP="00EB2CE7">
      <w:pPr>
        <w:jc w:val="center"/>
        <w:rPr>
          <w:rFonts w:ascii="Times New Roman" w:hAnsi="Times New Roman" w:cs="Times New Roman"/>
          <w:b/>
          <w:bCs/>
          <w:sz w:val="24"/>
          <w:szCs w:val="24"/>
          <w:u w:val="single"/>
          <w:lang w:val="en-GB"/>
        </w:rPr>
      </w:pPr>
      <w:r w:rsidRPr="00B32878">
        <w:rPr>
          <w:rFonts w:ascii="Times New Roman" w:hAnsi="Times New Roman" w:cs="Times New Roman"/>
          <w:b/>
          <w:bCs/>
          <w:sz w:val="24"/>
          <w:szCs w:val="24"/>
          <w:u w:val="single"/>
          <w:lang w:val="en-GB"/>
        </w:rPr>
        <w:t>P</w:t>
      </w:r>
      <w:r w:rsidR="00C63FF7" w:rsidRPr="00B32878">
        <w:rPr>
          <w:rFonts w:ascii="Times New Roman" w:hAnsi="Times New Roman" w:cs="Times New Roman"/>
          <w:b/>
          <w:bCs/>
          <w:sz w:val="24"/>
          <w:szCs w:val="24"/>
          <w:u w:val="single"/>
          <w:lang w:val="en-GB"/>
        </w:rPr>
        <w:t>rincipio Do no significant harm (</w:t>
      </w:r>
      <w:r w:rsidRPr="00B32878">
        <w:rPr>
          <w:rFonts w:ascii="Times New Roman" w:hAnsi="Times New Roman" w:cs="Times New Roman"/>
          <w:b/>
          <w:bCs/>
          <w:sz w:val="24"/>
          <w:szCs w:val="24"/>
          <w:u w:val="single"/>
          <w:lang w:val="en-GB"/>
        </w:rPr>
        <w:t xml:space="preserve">cd. </w:t>
      </w:r>
      <w:r w:rsidR="00C63FF7" w:rsidRPr="00B32878">
        <w:rPr>
          <w:rFonts w:ascii="Times New Roman" w:hAnsi="Times New Roman" w:cs="Times New Roman"/>
          <w:b/>
          <w:bCs/>
          <w:sz w:val="24"/>
          <w:szCs w:val="24"/>
          <w:u w:val="single"/>
          <w:lang w:val="en-GB"/>
        </w:rPr>
        <w:t>DNSH</w:t>
      </w:r>
      <w:r w:rsidRPr="00B32878">
        <w:rPr>
          <w:rFonts w:ascii="Times New Roman" w:hAnsi="Times New Roman" w:cs="Times New Roman"/>
          <w:b/>
          <w:bCs/>
          <w:sz w:val="24"/>
          <w:szCs w:val="24"/>
          <w:u w:val="single"/>
          <w:lang w:val="en-GB"/>
        </w:rPr>
        <w:t>)</w:t>
      </w:r>
    </w:p>
    <w:p w14:paraId="478472D9" w14:textId="77777777" w:rsidR="00137A39" w:rsidRPr="00B32878" w:rsidRDefault="00137A39" w:rsidP="00EB2CE7">
      <w:pPr>
        <w:jc w:val="center"/>
        <w:rPr>
          <w:rFonts w:ascii="Times New Roman" w:hAnsi="Times New Roman" w:cs="Times New Roman"/>
          <w:b/>
          <w:bCs/>
          <w:sz w:val="24"/>
          <w:szCs w:val="24"/>
          <w:u w:val="single"/>
          <w:lang w:val="en-GB"/>
        </w:rPr>
      </w:pPr>
    </w:p>
    <w:p w14:paraId="699DC76B" w14:textId="77777777" w:rsidR="00F21D77" w:rsidRDefault="00886EEB" w:rsidP="00886EEB">
      <w:pPr>
        <w:jc w:val="both"/>
        <w:rPr>
          <w:rFonts w:ascii="Times New Roman" w:hAnsi="Times New Roman" w:cs="Times New Roman"/>
          <w:sz w:val="24"/>
          <w:szCs w:val="24"/>
        </w:rPr>
      </w:pPr>
      <w:r w:rsidRPr="00886EEB">
        <w:rPr>
          <w:rFonts w:ascii="Times New Roman" w:hAnsi="Times New Roman" w:cs="Times New Roman"/>
          <w:sz w:val="24"/>
          <w:szCs w:val="24"/>
        </w:rPr>
        <w:t>Il Regolamento (UE) 2021/241, che istituisce il Dispositivo per la ripresa e la resilienza, stabilisce</w:t>
      </w:r>
      <w:r>
        <w:rPr>
          <w:rFonts w:ascii="Times New Roman" w:hAnsi="Times New Roman" w:cs="Times New Roman"/>
          <w:sz w:val="24"/>
          <w:szCs w:val="24"/>
        </w:rPr>
        <w:t xml:space="preserve"> </w:t>
      </w:r>
      <w:r w:rsidRPr="00886EEB">
        <w:rPr>
          <w:rFonts w:ascii="Times New Roman" w:hAnsi="Times New Roman" w:cs="Times New Roman"/>
          <w:sz w:val="24"/>
          <w:szCs w:val="24"/>
        </w:rPr>
        <w:t>che tutte le misure dei Piani nazionali per la ripresa e resilienza (PNRR) debbano soddisfare il</w:t>
      </w:r>
      <w:r>
        <w:rPr>
          <w:rFonts w:ascii="Times New Roman" w:hAnsi="Times New Roman" w:cs="Times New Roman"/>
          <w:sz w:val="24"/>
          <w:szCs w:val="24"/>
        </w:rPr>
        <w:t xml:space="preserve"> </w:t>
      </w:r>
      <w:r w:rsidRPr="00886EEB">
        <w:rPr>
          <w:rFonts w:ascii="Times New Roman" w:hAnsi="Times New Roman" w:cs="Times New Roman"/>
          <w:sz w:val="24"/>
          <w:szCs w:val="24"/>
        </w:rPr>
        <w:t xml:space="preserve">principio di “non arrecare danno significativo agli obiettivi ambientali”. </w:t>
      </w:r>
    </w:p>
    <w:p w14:paraId="1C83F090" w14:textId="77777777" w:rsidR="00F21D77" w:rsidRDefault="00886EEB" w:rsidP="00886EEB">
      <w:pPr>
        <w:jc w:val="both"/>
        <w:rPr>
          <w:rFonts w:ascii="Times New Roman" w:hAnsi="Times New Roman" w:cs="Times New Roman"/>
          <w:sz w:val="24"/>
          <w:szCs w:val="24"/>
        </w:rPr>
      </w:pPr>
      <w:r w:rsidRPr="00886EEB">
        <w:rPr>
          <w:rFonts w:ascii="Times New Roman" w:hAnsi="Times New Roman" w:cs="Times New Roman"/>
          <w:sz w:val="24"/>
          <w:szCs w:val="24"/>
        </w:rPr>
        <w:t>Tale vincolo si traduce in</w:t>
      </w:r>
      <w:r>
        <w:rPr>
          <w:rFonts w:ascii="Times New Roman" w:hAnsi="Times New Roman" w:cs="Times New Roman"/>
          <w:sz w:val="24"/>
          <w:szCs w:val="24"/>
        </w:rPr>
        <w:t xml:space="preserve"> </w:t>
      </w:r>
      <w:r w:rsidRPr="00886EEB">
        <w:rPr>
          <w:rFonts w:ascii="Times New Roman" w:hAnsi="Times New Roman" w:cs="Times New Roman"/>
          <w:sz w:val="24"/>
          <w:szCs w:val="24"/>
        </w:rPr>
        <w:t xml:space="preserve">una valutazione di conformità degli interventi al principio del “Do No </w:t>
      </w:r>
      <w:proofErr w:type="spellStart"/>
      <w:r w:rsidRPr="00886EEB">
        <w:rPr>
          <w:rFonts w:ascii="Times New Roman" w:hAnsi="Times New Roman" w:cs="Times New Roman"/>
          <w:sz w:val="24"/>
          <w:szCs w:val="24"/>
        </w:rPr>
        <w:t>Significant</w:t>
      </w:r>
      <w:proofErr w:type="spellEnd"/>
      <w:r w:rsidRPr="00886EEB">
        <w:rPr>
          <w:rFonts w:ascii="Times New Roman" w:hAnsi="Times New Roman" w:cs="Times New Roman"/>
          <w:sz w:val="24"/>
          <w:szCs w:val="24"/>
        </w:rPr>
        <w:t xml:space="preserve"> </w:t>
      </w:r>
      <w:proofErr w:type="spellStart"/>
      <w:r w:rsidRPr="00886EEB">
        <w:rPr>
          <w:rFonts w:ascii="Times New Roman" w:hAnsi="Times New Roman" w:cs="Times New Roman"/>
          <w:sz w:val="24"/>
          <w:szCs w:val="24"/>
        </w:rPr>
        <w:t>Harm</w:t>
      </w:r>
      <w:proofErr w:type="spellEnd"/>
      <w:r w:rsidRPr="00886EEB">
        <w:rPr>
          <w:rFonts w:ascii="Times New Roman" w:hAnsi="Times New Roman" w:cs="Times New Roman"/>
          <w:sz w:val="24"/>
          <w:szCs w:val="24"/>
        </w:rPr>
        <w:t>” (DNSH),</w:t>
      </w:r>
      <w:r w:rsidR="00F21D77">
        <w:rPr>
          <w:rFonts w:ascii="Times New Roman" w:hAnsi="Times New Roman" w:cs="Times New Roman"/>
          <w:sz w:val="24"/>
          <w:szCs w:val="24"/>
        </w:rPr>
        <w:t xml:space="preserve"> </w:t>
      </w:r>
      <w:r w:rsidRPr="00886EEB">
        <w:rPr>
          <w:rFonts w:ascii="Times New Roman" w:hAnsi="Times New Roman" w:cs="Times New Roman"/>
          <w:sz w:val="24"/>
          <w:szCs w:val="24"/>
        </w:rPr>
        <w:t>con riferimento al sistema di tassonomia delle attività ecosostenibili indicato all’articolo 17 del</w:t>
      </w:r>
      <w:r w:rsidR="00F21D77">
        <w:rPr>
          <w:rFonts w:ascii="Times New Roman" w:hAnsi="Times New Roman" w:cs="Times New Roman"/>
          <w:sz w:val="24"/>
          <w:szCs w:val="24"/>
        </w:rPr>
        <w:t xml:space="preserve"> </w:t>
      </w:r>
      <w:r w:rsidRPr="00886EEB">
        <w:rPr>
          <w:rFonts w:ascii="Times New Roman" w:hAnsi="Times New Roman" w:cs="Times New Roman"/>
          <w:sz w:val="24"/>
          <w:szCs w:val="24"/>
        </w:rPr>
        <w:t>Regolamento (UE) 2020/852.</w:t>
      </w:r>
      <w:r w:rsidR="00F21D77">
        <w:rPr>
          <w:rFonts w:ascii="Times New Roman" w:hAnsi="Times New Roman" w:cs="Times New Roman"/>
          <w:sz w:val="24"/>
          <w:szCs w:val="24"/>
        </w:rPr>
        <w:t xml:space="preserve"> </w:t>
      </w:r>
    </w:p>
    <w:p w14:paraId="27A1EDB2" w14:textId="77777777" w:rsidR="00F21D77" w:rsidRDefault="00886EEB" w:rsidP="00886EEB">
      <w:pPr>
        <w:jc w:val="both"/>
        <w:rPr>
          <w:rFonts w:ascii="Times New Roman" w:hAnsi="Times New Roman" w:cs="Times New Roman"/>
          <w:sz w:val="24"/>
          <w:szCs w:val="24"/>
        </w:rPr>
      </w:pPr>
      <w:r w:rsidRPr="00886EEB">
        <w:rPr>
          <w:rFonts w:ascii="Times New Roman" w:hAnsi="Times New Roman" w:cs="Times New Roman"/>
          <w:sz w:val="24"/>
          <w:szCs w:val="24"/>
        </w:rPr>
        <w:t>Il principio DNSH, declinato sui sei obiettivi ambientali definiti nell’ambito del sistema di tassonomia</w:t>
      </w:r>
      <w:r w:rsidR="00F21D77">
        <w:rPr>
          <w:rFonts w:ascii="Times New Roman" w:hAnsi="Times New Roman" w:cs="Times New Roman"/>
          <w:sz w:val="24"/>
          <w:szCs w:val="24"/>
        </w:rPr>
        <w:t xml:space="preserve"> </w:t>
      </w:r>
      <w:r w:rsidRPr="00886EEB">
        <w:rPr>
          <w:rFonts w:ascii="Times New Roman" w:hAnsi="Times New Roman" w:cs="Times New Roman"/>
          <w:sz w:val="24"/>
          <w:szCs w:val="24"/>
        </w:rPr>
        <w:t>delle attività ecosostenibili, ha lo scopo di valutare se una misura possa o meno arrecare un danno ai</w:t>
      </w:r>
      <w:r w:rsidR="00F21D77">
        <w:rPr>
          <w:rFonts w:ascii="Times New Roman" w:hAnsi="Times New Roman" w:cs="Times New Roman"/>
          <w:sz w:val="24"/>
          <w:szCs w:val="24"/>
        </w:rPr>
        <w:t xml:space="preserve"> </w:t>
      </w:r>
      <w:r w:rsidRPr="00886EEB">
        <w:rPr>
          <w:rFonts w:ascii="Times New Roman" w:hAnsi="Times New Roman" w:cs="Times New Roman"/>
          <w:sz w:val="24"/>
          <w:szCs w:val="24"/>
        </w:rPr>
        <w:t xml:space="preserve">sei obiettivi ambientali individuati nell’accordo di Parigi (Green Deal europeo). </w:t>
      </w:r>
    </w:p>
    <w:p w14:paraId="7D8F4892" w14:textId="09542EC8" w:rsidR="00886EEB" w:rsidRPr="00886EEB" w:rsidRDefault="00886EEB" w:rsidP="00886EEB">
      <w:pPr>
        <w:jc w:val="both"/>
        <w:rPr>
          <w:rFonts w:ascii="Times New Roman" w:hAnsi="Times New Roman" w:cs="Times New Roman"/>
          <w:sz w:val="24"/>
          <w:szCs w:val="24"/>
        </w:rPr>
      </w:pPr>
      <w:r w:rsidRPr="00886EEB">
        <w:rPr>
          <w:rFonts w:ascii="Times New Roman" w:hAnsi="Times New Roman" w:cs="Times New Roman"/>
          <w:sz w:val="24"/>
          <w:szCs w:val="24"/>
        </w:rPr>
        <w:lastRenderedPageBreak/>
        <w:t>In particolare,</w:t>
      </w:r>
      <w:r w:rsidR="00F21D77">
        <w:rPr>
          <w:rFonts w:ascii="Times New Roman" w:hAnsi="Times New Roman" w:cs="Times New Roman"/>
          <w:sz w:val="24"/>
          <w:szCs w:val="24"/>
        </w:rPr>
        <w:t xml:space="preserve"> </w:t>
      </w:r>
      <w:r w:rsidRPr="00886EEB">
        <w:rPr>
          <w:rFonts w:ascii="Times New Roman" w:hAnsi="Times New Roman" w:cs="Times New Roman"/>
          <w:sz w:val="24"/>
          <w:szCs w:val="24"/>
        </w:rPr>
        <w:t>un'attività economica arreca un danno significativo:</w:t>
      </w:r>
    </w:p>
    <w:p w14:paraId="373E8EDC" w14:textId="11F7A128" w:rsidR="00886EEB" w:rsidRPr="00F21D77" w:rsidRDefault="00886EEB" w:rsidP="00F21D77">
      <w:pPr>
        <w:pStyle w:val="Paragrafoelenco"/>
        <w:numPr>
          <w:ilvl w:val="0"/>
          <w:numId w:val="13"/>
        </w:numPr>
        <w:jc w:val="both"/>
        <w:rPr>
          <w:rFonts w:ascii="Times New Roman" w:hAnsi="Times New Roman" w:cs="Times New Roman"/>
          <w:sz w:val="24"/>
          <w:szCs w:val="24"/>
        </w:rPr>
      </w:pPr>
      <w:r w:rsidRPr="00F21D77">
        <w:rPr>
          <w:rFonts w:ascii="Times New Roman" w:hAnsi="Times New Roman" w:cs="Times New Roman"/>
          <w:sz w:val="24"/>
          <w:szCs w:val="24"/>
        </w:rPr>
        <w:t>alla mitigazione dei cambiamenti climatici, se porta a significative emissioni di gas serra</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(GHG);</w:t>
      </w:r>
    </w:p>
    <w:p w14:paraId="47AEC22F" w14:textId="7CC4F847" w:rsidR="00886EEB" w:rsidRPr="00F21D77" w:rsidRDefault="00886EEB" w:rsidP="00F21D77">
      <w:pPr>
        <w:pStyle w:val="Paragrafoelenco"/>
        <w:numPr>
          <w:ilvl w:val="0"/>
          <w:numId w:val="13"/>
        </w:numPr>
        <w:jc w:val="both"/>
        <w:rPr>
          <w:rFonts w:ascii="Times New Roman" w:hAnsi="Times New Roman" w:cs="Times New Roman"/>
          <w:sz w:val="24"/>
          <w:szCs w:val="24"/>
        </w:rPr>
      </w:pPr>
      <w:r w:rsidRPr="00F21D77">
        <w:rPr>
          <w:rFonts w:ascii="Times New Roman" w:hAnsi="Times New Roman" w:cs="Times New Roman"/>
          <w:sz w:val="24"/>
          <w:szCs w:val="24"/>
        </w:rPr>
        <w:t>all'adattamento ai cambiamenti climatici, se determina un maggiore impatto negativo del</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clima attuale e futuro, sull'attività stessa o sulle persone, sulla natura o sui beni;</w:t>
      </w:r>
    </w:p>
    <w:p w14:paraId="31A107BD" w14:textId="4F44EE88" w:rsidR="00886EEB" w:rsidRPr="00F21D77" w:rsidRDefault="00886EEB" w:rsidP="00F21D77">
      <w:pPr>
        <w:pStyle w:val="Paragrafoelenco"/>
        <w:numPr>
          <w:ilvl w:val="0"/>
          <w:numId w:val="13"/>
        </w:numPr>
        <w:jc w:val="both"/>
        <w:rPr>
          <w:rFonts w:ascii="Times New Roman" w:hAnsi="Times New Roman" w:cs="Times New Roman"/>
          <w:sz w:val="24"/>
          <w:szCs w:val="24"/>
        </w:rPr>
      </w:pPr>
      <w:r w:rsidRPr="00F21D77">
        <w:rPr>
          <w:rFonts w:ascii="Times New Roman" w:hAnsi="Times New Roman" w:cs="Times New Roman"/>
          <w:sz w:val="24"/>
          <w:szCs w:val="24"/>
        </w:rPr>
        <w:t>all'uso sostenibile o alla protezione delle risorse idriche e marine, se è dannosa per il buono</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stato dei corpi idrici (superficiali, sotterranei o marini) determinandone il deterioramento</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qualitativo o la riduzione del potenziale ecologico;</w:t>
      </w:r>
    </w:p>
    <w:p w14:paraId="203AE614" w14:textId="280912D4" w:rsidR="00886EEB" w:rsidRPr="00F21D77" w:rsidRDefault="00886EEB" w:rsidP="00F21D77">
      <w:pPr>
        <w:pStyle w:val="Paragrafoelenco"/>
        <w:numPr>
          <w:ilvl w:val="0"/>
          <w:numId w:val="13"/>
        </w:numPr>
        <w:jc w:val="both"/>
        <w:rPr>
          <w:rFonts w:ascii="Times New Roman" w:hAnsi="Times New Roman" w:cs="Times New Roman"/>
          <w:sz w:val="24"/>
          <w:szCs w:val="24"/>
        </w:rPr>
      </w:pPr>
      <w:r w:rsidRPr="00F21D77">
        <w:rPr>
          <w:rFonts w:ascii="Times New Roman" w:hAnsi="Times New Roman" w:cs="Times New Roman"/>
          <w:sz w:val="24"/>
          <w:szCs w:val="24"/>
        </w:rPr>
        <w:t>all'economia circolare, inclusa la prevenzione, il riutilizzo ed il riciclaggio dei rifiuti, se porta</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a significative inefficienze nell'utilizzo di materiali recuperati o riciclati, ad incrementi</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nell'uso diretto o indiretto di risorse naturali, all’incremento significativo di rifiuti, al loro</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incenerimento o smaltimento, causando danni ambientali significativi a lungo termine;</w:t>
      </w:r>
      <w:r w:rsidR="00F21D77" w:rsidRPr="00F21D77">
        <w:rPr>
          <w:rFonts w:ascii="Times New Roman" w:hAnsi="Times New Roman" w:cs="Times New Roman"/>
          <w:sz w:val="24"/>
          <w:szCs w:val="24"/>
        </w:rPr>
        <w:t xml:space="preserve"> </w:t>
      </w:r>
    </w:p>
    <w:p w14:paraId="2BCAE2DD" w14:textId="425E9C57" w:rsidR="00886EEB" w:rsidRPr="00F21D77" w:rsidRDefault="00886EEB" w:rsidP="00F21D77">
      <w:pPr>
        <w:pStyle w:val="Paragrafoelenco"/>
        <w:numPr>
          <w:ilvl w:val="0"/>
          <w:numId w:val="13"/>
        </w:numPr>
        <w:jc w:val="both"/>
        <w:rPr>
          <w:rFonts w:ascii="Times New Roman" w:hAnsi="Times New Roman" w:cs="Times New Roman"/>
          <w:sz w:val="24"/>
          <w:szCs w:val="24"/>
        </w:rPr>
      </w:pPr>
      <w:r w:rsidRPr="00F21D77">
        <w:rPr>
          <w:rFonts w:ascii="Times New Roman" w:hAnsi="Times New Roman" w:cs="Times New Roman"/>
          <w:sz w:val="24"/>
          <w:szCs w:val="24"/>
        </w:rPr>
        <w:t>alla prevenzione e riduzione dell'inquinamento, se determina un aumento delle emissioni di</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inquinanti nell'aria, nell'acqua o nel suolo;</w:t>
      </w:r>
    </w:p>
    <w:p w14:paraId="43E39044" w14:textId="6C78C9A2" w:rsidR="00722E24" w:rsidRDefault="00886EEB">
      <w:pPr>
        <w:pStyle w:val="Paragrafoelenco"/>
        <w:numPr>
          <w:ilvl w:val="0"/>
          <w:numId w:val="13"/>
        </w:numPr>
        <w:jc w:val="both"/>
        <w:rPr>
          <w:rFonts w:ascii="Times New Roman" w:hAnsi="Times New Roman" w:cs="Times New Roman"/>
          <w:sz w:val="24"/>
          <w:szCs w:val="24"/>
        </w:rPr>
      </w:pPr>
      <w:r w:rsidRPr="00F21D77">
        <w:rPr>
          <w:rFonts w:ascii="Times New Roman" w:hAnsi="Times New Roman" w:cs="Times New Roman"/>
          <w:sz w:val="24"/>
          <w:szCs w:val="24"/>
        </w:rPr>
        <w:t>alla protezione e al ripristino di biodiversità e degli ecosistemi, se è dannosa per le buone</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condizioni e resilienza degli ecosistemi o per lo stato di conservazione degli habitat e delle</w:t>
      </w:r>
      <w:r w:rsidR="00F21D77" w:rsidRPr="00F21D77">
        <w:rPr>
          <w:rFonts w:ascii="Times New Roman" w:hAnsi="Times New Roman" w:cs="Times New Roman"/>
          <w:sz w:val="24"/>
          <w:szCs w:val="24"/>
        </w:rPr>
        <w:t xml:space="preserve"> </w:t>
      </w:r>
      <w:r w:rsidRPr="00F21D77">
        <w:rPr>
          <w:rFonts w:ascii="Times New Roman" w:hAnsi="Times New Roman" w:cs="Times New Roman"/>
          <w:sz w:val="24"/>
          <w:szCs w:val="24"/>
        </w:rPr>
        <w:t>specie, comprese quelle di interesse per l'Unione europea</w:t>
      </w:r>
      <w:r w:rsidR="00F21D77">
        <w:rPr>
          <w:rFonts w:ascii="Times New Roman" w:hAnsi="Times New Roman" w:cs="Times New Roman"/>
          <w:sz w:val="24"/>
          <w:szCs w:val="24"/>
        </w:rPr>
        <w:t>.</w:t>
      </w:r>
    </w:p>
    <w:p w14:paraId="3F93861E" w14:textId="02333865" w:rsidR="00AD7CBC" w:rsidRDefault="00F21D77" w:rsidP="00AD7CBC">
      <w:pPr>
        <w:jc w:val="both"/>
        <w:rPr>
          <w:rFonts w:ascii="Times New Roman" w:hAnsi="Times New Roman" w:cs="Times New Roman"/>
          <w:sz w:val="24"/>
          <w:szCs w:val="24"/>
        </w:rPr>
      </w:pPr>
      <w:r>
        <w:rPr>
          <w:rFonts w:ascii="Times New Roman" w:hAnsi="Times New Roman" w:cs="Times New Roman"/>
          <w:sz w:val="24"/>
          <w:szCs w:val="24"/>
        </w:rPr>
        <w:t xml:space="preserve">Sulla base </w:t>
      </w:r>
      <w:r w:rsidR="000044EB">
        <w:rPr>
          <w:rFonts w:ascii="Times New Roman" w:hAnsi="Times New Roman" w:cs="Times New Roman"/>
          <w:sz w:val="24"/>
          <w:szCs w:val="24"/>
        </w:rPr>
        <w:t xml:space="preserve">della </w:t>
      </w:r>
      <w:r w:rsidR="000044EB" w:rsidRPr="000044EB">
        <w:rPr>
          <w:rFonts w:ascii="Times New Roman" w:hAnsi="Times New Roman" w:cs="Times New Roman"/>
          <w:sz w:val="24"/>
          <w:szCs w:val="24"/>
        </w:rPr>
        <w:t>Mappatura di correlazione fra Investimenti - Riforme e Schede Tecniche</w:t>
      </w:r>
      <w:r w:rsidR="000044EB">
        <w:rPr>
          <w:rFonts w:ascii="Times New Roman" w:hAnsi="Times New Roman" w:cs="Times New Roman"/>
          <w:sz w:val="24"/>
          <w:szCs w:val="24"/>
        </w:rPr>
        <w:t xml:space="preserve"> contenuta, da ultimo, nella </w:t>
      </w:r>
      <w:r w:rsidR="004314B2">
        <w:rPr>
          <w:rFonts w:ascii="Times New Roman" w:hAnsi="Times New Roman" w:cs="Times New Roman"/>
          <w:sz w:val="24"/>
          <w:szCs w:val="24"/>
        </w:rPr>
        <w:t>C</w:t>
      </w:r>
      <w:r w:rsidR="004314B2" w:rsidRPr="004314B2">
        <w:rPr>
          <w:rFonts w:ascii="Times New Roman" w:hAnsi="Times New Roman" w:cs="Times New Roman"/>
          <w:sz w:val="24"/>
          <w:szCs w:val="24"/>
        </w:rPr>
        <w:t>ircolare RGS n. 22 del 14 maggio 2024</w:t>
      </w:r>
      <w:r w:rsidR="004314B2">
        <w:rPr>
          <w:rFonts w:ascii="Times New Roman" w:hAnsi="Times New Roman" w:cs="Times New Roman"/>
          <w:sz w:val="24"/>
          <w:szCs w:val="24"/>
        </w:rPr>
        <w:t xml:space="preserve">, </w:t>
      </w:r>
      <w:r w:rsidR="00EF5B0F">
        <w:rPr>
          <w:rFonts w:ascii="Times New Roman" w:hAnsi="Times New Roman" w:cs="Times New Roman"/>
          <w:sz w:val="24"/>
          <w:szCs w:val="24"/>
        </w:rPr>
        <w:t>alla misura M5C2I3.1 “Sport ed inclusione sociale” trov</w:t>
      </w:r>
      <w:r w:rsidR="00940D5E">
        <w:rPr>
          <w:rFonts w:ascii="Times New Roman" w:hAnsi="Times New Roman" w:cs="Times New Roman"/>
          <w:sz w:val="24"/>
          <w:szCs w:val="24"/>
        </w:rPr>
        <w:t>a</w:t>
      </w:r>
      <w:r w:rsidR="00EF5B0F">
        <w:rPr>
          <w:rFonts w:ascii="Times New Roman" w:hAnsi="Times New Roman" w:cs="Times New Roman"/>
          <w:sz w:val="24"/>
          <w:szCs w:val="24"/>
        </w:rPr>
        <w:t xml:space="preserve"> applicazione la Scheda n. 1</w:t>
      </w:r>
      <w:r w:rsidR="00940D5E">
        <w:rPr>
          <w:rFonts w:ascii="Times New Roman" w:hAnsi="Times New Roman" w:cs="Times New Roman"/>
          <w:sz w:val="24"/>
          <w:szCs w:val="24"/>
        </w:rPr>
        <w:t xml:space="preserve"> – </w:t>
      </w:r>
      <w:r w:rsidR="00AD7CBC">
        <w:rPr>
          <w:rFonts w:ascii="Times New Roman" w:hAnsi="Times New Roman" w:cs="Times New Roman"/>
          <w:sz w:val="24"/>
          <w:szCs w:val="24"/>
        </w:rPr>
        <w:t>Regime</w:t>
      </w:r>
      <w:r w:rsidR="00940D5E">
        <w:rPr>
          <w:rFonts w:ascii="Times New Roman" w:hAnsi="Times New Roman" w:cs="Times New Roman"/>
          <w:sz w:val="24"/>
          <w:szCs w:val="24"/>
        </w:rPr>
        <w:t xml:space="preserve"> </w:t>
      </w:r>
      <w:r w:rsidR="00AD7CBC">
        <w:rPr>
          <w:rFonts w:ascii="Times New Roman" w:hAnsi="Times New Roman" w:cs="Times New Roman"/>
          <w:sz w:val="24"/>
          <w:szCs w:val="24"/>
        </w:rPr>
        <w:t>1</w:t>
      </w:r>
      <w:r w:rsidR="00EF5B0F">
        <w:rPr>
          <w:rFonts w:ascii="Times New Roman" w:hAnsi="Times New Roman" w:cs="Times New Roman"/>
          <w:sz w:val="24"/>
          <w:szCs w:val="24"/>
        </w:rPr>
        <w:t xml:space="preserve"> per gli interventi di nuova costruzione </w:t>
      </w:r>
      <w:r w:rsidR="00AD7CBC">
        <w:rPr>
          <w:rFonts w:ascii="Times New Roman" w:hAnsi="Times New Roman" w:cs="Times New Roman"/>
          <w:sz w:val="24"/>
          <w:szCs w:val="24"/>
        </w:rPr>
        <w:t>tenuti</w:t>
      </w:r>
      <w:r w:rsidR="00CE4B88">
        <w:rPr>
          <w:rFonts w:ascii="Times New Roman" w:hAnsi="Times New Roman" w:cs="Times New Roman"/>
          <w:sz w:val="24"/>
          <w:szCs w:val="24"/>
        </w:rPr>
        <w:t xml:space="preserve">, </w:t>
      </w:r>
      <w:r w:rsidR="00CE4B88" w:rsidRPr="001F3777">
        <w:rPr>
          <w:rFonts w:ascii="Times New Roman" w:hAnsi="Times New Roman" w:cs="Times New Roman"/>
          <w:sz w:val="24"/>
          <w:szCs w:val="24"/>
        </w:rPr>
        <w:t xml:space="preserve">in termini di performance di efficienza energetica, </w:t>
      </w:r>
      <w:r w:rsidR="00184B8E">
        <w:rPr>
          <w:rFonts w:ascii="Times New Roman" w:hAnsi="Times New Roman" w:cs="Times New Roman"/>
          <w:sz w:val="24"/>
          <w:szCs w:val="24"/>
        </w:rPr>
        <w:t xml:space="preserve">a garantire </w:t>
      </w:r>
      <w:r w:rsidR="00CE4B88" w:rsidRPr="001F3777">
        <w:rPr>
          <w:rFonts w:ascii="Times New Roman" w:hAnsi="Times New Roman" w:cs="Times New Roman"/>
          <w:sz w:val="24"/>
          <w:szCs w:val="24"/>
        </w:rPr>
        <w:t xml:space="preserve">un fabbisogno di energia primaria inferiore di almeno 20% rispetto agli standard </w:t>
      </w:r>
      <w:proofErr w:type="spellStart"/>
      <w:r w:rsidR="00CE4B88" w:rsidRPr="001F3777">
        <w:rPr>
          <w:rFonts w:ascii="Times New Roman" w:hAnsi="Times New Roman" w:cs="Times New Roman"/>
          <w:sz w:val="24"/>
          <w:szCs w:val="24"/>
        </w:rPr>
        <w:t>nearly</w:t>
      </w:r>
      <w:proofErr w:type="spellEnd"/>
      <w:r w:rsidR="00CE4B88" w:rsidRPr="001F3777">
        <w:rPr>
          <w:rFonts w:ascii="Times New Roman" w:hAnsi="Times New Roman" w:cs="Times New Roman"/>
          <w:sz w:val="24"/>
          <w:szCs w:val="24"/>
        </w:rPr>
        <w:t xml:space="preserve"> Zero-Energy Buildings</w:t>
      </w:r>
      <w:r w:rsidR="00E66506">
        <w:rPr>
          <w:rFonts w:ascii="Times New Roman" w:hAnsi="Times New Roman" w:cs="Times New Roman"/>
          <w:sz w:val="24"/>
          <w:szCs w:val="24"/>
        </w:rPr>
        <w:t>.</w:t>
      </w:r>
    </w:p>
    <w:p w14:paraId="0C7CACC4" w14:textId="4E18F15E" w:rsidR="00B21A59" w:rsidRDefault="00C37754" w:rsidP="006669DE">
      <w:pPr>
        <w:jc w:val="both"/>
        <w:rPr>
          <w:rFonts w:ascii="Times New Roman" w:hAnsi="Times New Roman" w:cs="Times New Roman"/>
          <w:sz w:val="24"/>
          <w:szCs w:val="24"/>
        </w:rPr>
      </w:pPr>
      <w:r>
        <w:rPr>
          <w:rFonts w:ascii="Times New Roman" w:hAnsi="Times New Roman" w:cs="Times New Roman"/>
          <w:sz w:val="24"/>
          <w:szCs w:val="24"/>
        </w:rPr>
        <w:t xml:space="preserve">Il </w:t>
      </w:r>
      <w:r w:rsidR="00E60260">
        <w:rPr>
          <w:rFonts w:ascii="Times New Roman" w:hAnsi="Times New Roman" w:cs="Times New Roman"/>
          <w:sz w:val="24"/>
          <w:szCs w:val="24"/>
        </w:rPr>
        <w:t xml:space="preserve">Soggetto Attuatore è tenuto </w:t>
      </w:r>
      <w:r>
        <w:rPr>
          <w:rFonts w:ascii="Times New Roman" w:hAnsi="Times New Roman" w:cs="Times New Roman"/>
          <w:sz w:val="24"/>
          <w:szCs w:val="24"/>
        </w:rPr>
        <w:t xml:space="preserve">pertanto </w:t>
      </w:r>
      <w:r w:rsidR="00E60260">
        <w:rPr>
          <w:rFonts w:ascii="Times New Roman" w:hAnsi="Times New Roman" w:cs="Times New Roman"/>
          <w:sz w:val="24"/>
          <w:szCs w:val="24"/>
        </w:rPr>
        <w:t xml:space="preserve">ad impegnare il progettista </w:t>
      </w:r>
      <w:r>
        <w:rPr>
          <w:rFonts w:ascii="Times New Roman" w:hAnsi="Times New Roman" w:cs="Times New Roman"/>
          <w:sz w:val="24"/>
          <w:szCs w:val="24"/>
        </w:rPr>
        <w:t>a</w:t>
      </w:r>
      <w:r w:rsidR="00E60260">
        <w:rPr>
          <w:rFonts w:ascii="Times New Roman" w:hAnsi="Times New Roman" w:cs="Times New Roman"/>
          <w:sz w:val="24"/>
          <w:szCs w:val="24"/>
        </w:rPr>
        <w:t>d</w:t>
      </w:r>
      <w:r>
        <w:rPr>
          <w:rFonts w:ascii="Times New Roman" w:hAnsi="Times New Roman" w:cs="Times New Roman"/>
          <w:sz w:val="24"/>
          <w:szCs w:val="24"/>
        </w:rPr>
        <w:t xml:space="preserve"> una puntuale disamina della Scheda n. 1 applicabile al Regime n. 1 per la redazione </w:t>
      </w:r>
      <w:r w:rsidR="00805DFB">
        <w:rPr>
          <w:rFonts w:ascii="Times New Roman" w:hAnsi="Times New Roman" w:cs="Times New Roman"/>
          <w:sz w:val="24"/>
          <w:szCs w:val="24"/>
        </w:rPr>
        <w:t xml:space="preserve">della Relazione di sostenibilità e pedissequa asseverazione, da </w:t>
      </w:r>
      <w:r w:rsidR="009C0E5F">
        <w:rPr>
          <w:rFonts w:ascii="Times New Roman" w:hAnsi="Times New Roman" w:cs="Times New Roman"/>
          <w:sz w:val="24"/>
          <w:szCs w:val="24"/>
        </w:rPr>
        <w:t xml:space="preserve">predisporre nel rispetto delle indicazioni contenute </w:t>
      </w:r>
      <w:r w:rsidR="006669DE">
        <w:rPr>
          <w:rFonts w:ascii="Times New Roman" w:hAnsi="Times New Roman" w:cs="Times New Roman"/>
          <w:sz w:val="24"/>
          <w:szCs w:val="24"/>
        </w:rPr>
        <w:t xml:space="preserve">nelle </w:t>
      </w:r>
      <w:r w:rsidR="006669DE" w:rsidRPr="006669DE">
        <w:rPr>
          <w:rFonts w:ascii="Times New Roman" w:hAnsi="Times New Roman" w:cs="Times New Roman"/>
          <w:sz w:val="24"/>
          <w:szCs w:val="24"/>
        </w:rPr>
        <w:t>Linee guida</w:t>
      </w:r>
      <w:r w:rsidR="00B21A59">
        <w:rPr>
          <w:rFonts w:ascii="Times New Roman" w:hAnsi="Times New Roman" w:cs="Times New Roman"/>
          <w:sz w:val="24"/>
          <w:szCs w:val="24"/>
        </w:rPr>
        <w:t xml:space="preserve"> MIMS di luglio 2021</w:t>
      </w:r>
      <w:r w:rsidR="006669DE">
        <w:rPr>
          <w:rFonts w:ascii="Times New Roman" w:hAnsi="Times New Roman" w:cs="Times New Roman"/>
          <w:sz w:val="24"/>
          <w:szCs w:val="24"/>
        </w:rPr>
        <w:t xml:space="preserve"> </w:t>
      </w:r>
      <w:r w:rsidR="006669DE" w:rsidRPr="006669DE">
        <w:rPr>
          <w:rFonts w:ascii="Times New Roman" w:hAnsi="Times New Roman" w:cs="Times New Roman"/>
          <w:sz w:val="24"/>
          <w:szCs w:val="24"/>
        </w:rPr>
        <w:t>per la redazione del progetto di fattibilità tecnica ed</w:t>
      </w:r>
      <w:r w:rsidR="006669DE">
        <w:rPr>
          <w:rFonts w:ascii="Times New Roman" w:hAnsi="Times New Roman" w:cs="Times New Roman"/>
          <w:sz w:val="24"/>
          <w:szCs w:val="24"/>
        </w:rPr>
        <w:t xml:space="preserve"> </w:t>
      </w:r>
      <w:r w:rsidR="006669DE" w:rsidRPr="006669DE">
        <w:rPr>
          <w:rFonts w:ascii="Times New Roman" w:hAnsi="Times New Roman" w:cs="Times New Roman"/>
          <w:sz w:val="24"/>
          <w:szCs w:val="24"/>
        </w:rPr>
        <w:t>economica da porre a base dell’affidamento</w:t>
      </w:r>
      <w:r w:rsidR="006669DE">
        <w:rPr>
          <w:rFonts w:ascii="Times New Roman" w:hAnsi="Times New Roman" w:cs="Times New Roman"/>
          <w:sz w:val="24"/>
          <w:szCs w:val="24"/>
        </w:rPr>
        <w:t xml:space="preserve"> </w:t>
      </w:r>
      <w:r w:rsidR="006669DE" w:rsidRPr="006669DE">
        <w:rPr>
          <w:rFonts w:ascii="Times New Roman" w:hAnsi="Times New Roman" w:cs="Times New Roman"/>
          <w:sz w:val="24"/>
          <w:szCs w:val="24"/>
        </w:rPr>
        <w:t>di contratti pubblici di lavori del PNRR e del PNC</w:t>
      </w:r>
      <w:r w:rsidR="00B21A59">
        <w:rPr>
          <w:rFonts w:ascii="Times New Roman" w:hAnsi="Times New Roman" w:cs="Times New Roman"/>
          <w:sz w:val="24"/>
          <w:szCs w:val="24"/>
        </w:rPr>
        <w:t>.</w:t>
      </w:r>
    </w:p>
    <w:p w14:paraId="122D8F63" w14:textId="5D9DA950" w:rsidR="009765F6" w:rsidRDefault="009765F6" w:rsidP="006669DE">
      <w:pPr>
        <w:jc w:val="both"/>
        <w:rPr>
          <w:rFonts w:ascii="Times New Roman" w:hAnsi="Times New Roman" w:cs="Times New Roman"/>
          <w:sz w:val="24"/>
          <w:szCs w:val="24"/>
        </w:rPr>
      </w:pPr>
      <w:r>
        <w:rPr>
          <w:rFonts w:ascii="Times New Roman" w:hAnsi="Times New Roman" w:cs="Times New Roman"/>
          <w:sz w:val="24"/>
          <w:szCs w:val="24"/>
        </w:rPr>
        <w:t>In sintesi, i</w:t>
      </w:r>
      <w:r w:rsidR="00B21A59">
        <w:rPr>
          <w:rFonts w:ascii="Times New Roman" w:hAnsi="Times New Roman" w:cs="Times New Roman"/>
          <w:sz w:val="24"/>
          <w:szCs w:val="24"/>
        </w:rPr>
        <w:t xml:space="preserve">l rispetto del principio del DNSH </w:t>
      </w:r>
      <w:r w:rsidR="00C8516A">
        <w:rPr>
          <w:rFonts w:ascii="Times New Roman" w:hAnsi="Times New Roman" w:cs="Times New Roman"/>
          <w:sz w:val="24"/>
          <w:szCs w:val="24"/>
        </w:rPr>
        <w:t>sarà oggetto di controllo durante</w:t>
      </w:r>
      <w:r w:rsidR="00B21A59">
        <w:rPr>
          <w:rFonts w:ascii="Times New Roman" w:hAnsi="Times New Roman" w:cs="Times New Roman"/>
          <w:sz w:val="24"/>
          <w:szCs w:val="24"/>
        </w:rPr>
        <w:t xml:space="preserve"> tutte le fasi del ciclo </w:t>
      </w:r>
      <w:r>
        <w:rPr>
          <w:rFonts w:ascii="Times New Roman" w:hAnsi="Times New Roman" w:cs="Times New Roman"/>
          <w:sz w:val="24"/>
          <w:szCs w:val="24"/>
        </w:rPr>
        <w:t>del progetto</w:t>
      </w:r>
      <w:r w:rsidR="00B21A59">
        <w:rPr>
          <w:rFonts w:ascii="Times New Roman" w:hAnsi="Times New Roman" w:cs="Times New Roman"/>
          <w:sz w:val="24"/>
          <w:szCs w:val="24"/>
        </w:rPr>
        <w:t xml:space="preserve">: </w:t>
      </w:r>
    </w:p>
    <w:p w14:paraId="441B9F2B" w14:textId="5E0B5990" w:rsidR="009765F6" w:rsidRDefault="009765F6" w:rsidP="009765F6">
      <w:pPr>
        <w:pStyle w:val="Paragrafoelenco"/>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in fase di </w:t>
      </w:r>
      <w:r w:rsidR="00B21A59" w:rsidRPr="009765F6">
        <w:rPr>
          <w:rFonts w:ascii="Times New Roman" w:hAnsi="Times New Roman" w:cs="Times New Roman"/>
          <w:sz w:val="24"/>
          <w:szCs w:val="24"/>
        </w:rPr>
        <w:t>selezione de</w:t>
      </w:r>
      <w:r w:rsidR="00C8516A" w:rsidRPr="009765F6">
        <w:rPr>
          <w:rFonts w:ascii="Times New Roman" w:hAnsi="Times New Roman" w:cs="Times New Roman"/>
          <w:sz w:val="24"/>
          <w:szCs w:val="24"/>
        </w:rPr>
        <w:t>l Comune beneficiario e aggiudicazione degli appalti, tramite verifica dell’assunzione delle relative obbligazioni</w:t>
      </w:r>
      <w:r w:rsidR="00A032BF">
        <w:rPr>
          <w:rFonts w:ascii="Times New Roman" w:hAnsi="Times New Roman" w:cs="Times New Roman"/>
          <w:sz w:val="24"/>
          <w:szCs w:val="24"/>
        </w:rPr>
        <w:t>;</w:t>
      </w:r>
      <w:r w:rsidR="00C8516A" w:rsidRPr="009765F6">
        <w:rPr>
          <w:rFonts w:ascii="Times New Roman" w:hAnsi="Times New Roman" w:cs="Times New Roman"/>
          <w:sz w:val="24"/>
          <w:szCs w:val="24"/>
        </w:rPr>
        <w:t xml:space="preserve"> </w:t>
      </w:r>
    </w:p>
    <w:p w14:paraId="57D6D134" w14:textId="31EDFC2F" w:rsidR="009765F6" w:rsidRDefault="009765F6" w:rsidP="009765F6">
      <w:pPr>
        <w:pStyle w:val="Paragrafoelenco"/>
        <w:numPr>
          <w:ilvl w:val="0"/>
          <w:numId w:val="14"/>
        </w:numPr>
        <w:jc w:val="both"/>
        <w:rPr>
          <w:rFonts w:ascii="Times New Roman" w:hAnsi="Times New Roman" w:cs="Times New Roman"/>
          <w:sz w:val="24"/>
          <w:szCs w:val="24"/>
        </w:rPr>
      </w:pPr>
      <w:r>
        <w:rPr>
          <w:rFonts w:ascii="Times New Roman" w:hAnsi="Times New Roman" w:cs="Times New Roman"/>
          <w:sz w:val="24"/>
          <w:szCs w:val="24"/>
        </w:rPr>
        <w:t>a seguito</w:t>
      </w:r>
      <w:r w:rsidR="00C8516A" w:rsidRPr="009765F6">
        <w:rPr>
          <w:rFonts w:ascii="Times New Roman" w:hAnsi="Times New Roman" w:cs="Times New Roman"/>
          <w:sz w:val="24"/>
          <w:szCs w:val="24"/>
        </w:rPr>
        <w:t xml:space="preserve"> d</w:t>
      </w:r>
      <w:r>
        <w:rPr>
          <w:rFonts w:ascii="Times New Roman" w:hAnsi="Times New Roman" w:cs="Times New Roman"/>
          <w:sz w:val="24"/>
          <w:szCs w:val="24"/>
        </w:rPr>
        <w:t>ell’</w:t>
      </w:r>
      <w:r w:rsidR="00886FAA" w:rsidRPr="009765F6">
        <w:rPr>
          <w:rFonts w:ascii="Times New Roman" w:hAnsi="Times New Roman" w:cs="Times New Roman"/>
          <w:sz w:val="24"/>
          <w:szCs w:val="24"/>
        </w:rPr>
        <w:t>approvazione del progetto</w:t>
      </w:r>
      <w:r>
        <w:rPr>
          <w:rFonts w:ascii="Times New Roman" w:hAnsi="Times New Roman" w:cs="Times New Roman"/>
          <w:sz w:val="24"/>
          <w:szCs w:val="24"/>
        </w:rPr>
        <w:t xml:space="preserve"> esecutivo</w:t>
      </w:r>
      <w:r w:rsidR="00886FAA" w:rsidRPr="009765F6">
        <w:rPr>
          <w:rFonts w:ascii="Times New Roman" w:hAnsi="Times New Roman" w:cs="Times New Roman"/>
          <w:sz w:val="24"/>
          <w:szCs w:val="24"/>
        </w:rPr>
        <w:t>, tramite verifica del caricamento su Regis dell’asseverazione rilasciata dal Progettista sulla Relazione di sostenibilità</w:t>
      </w:r>
      <w:r w:rsidR="002A2C8F">
        <w:rPr>
          <w:rFonts w:ascii="Times New Roman" w:hAnsi="Times New Roman" w:cs="Times New Roman"/>
          <w:sz w:val="24"/>
          <w:szCs w:val="24"/>
        </w:rPr>
        <w:t xml:space="preserve"> e </w:t>
      </w:r>
      <w:r w:rsidR="00D824BC">
        <w:rPr>
          <w:rFonts w:ascii="Times New Roman" w:hAnsi="Times New Roman" w:cs="Times New Roman"/>
          <w:sz w:val="24"/>
          <w:szCs w:val="24"/>
        </w:rPr>
        <w:t xml:space="preserve">delle checklist ex ante </w:t>
      </w:r>
      <w:r w:rsidR="009735B6">
        <w:rPr>
          <w:rFonts w:ascii="Times New Roman" w:hAnsi="Times New Roman" w:cs="Times New Roman"/>
          <w:sz w:val="24"/>
          <w:szCs w:val="24"/>
        </w:rPr>
        <w:t>applicabili alla Scheda 1 Regime 1 accluse alla Guida operativa su richiamata</w:t>
      </w:r>
      <w:r w:rsidR="00A032BF">
        <w:rPr>
          <w:rFonts w:ascii="Times New Roman" w:hAnsi="Times New Roman" w:cs="Times New Roman"/>
          <w:sz w:val="24"/>
          <w:szCs w:val="24"/>
        </w:rPr>
        <w:t>;</w:t>
      </w:r>
    </w:p>
    <w:p w14:paraId="5A580554" w14:textId="50E08A67" w:rsidR="00232481" w:rsidRDefault="009765F6" w:rsidP="009765F6">
      <w:pPr>
        <w:pStyle w:val="Paragrafoelenco"/>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nel corso </w:t>
      </w:r>
      <w:r w:rsidR="00232481">
        <w:rPr>
          <w:rFonts w:ascii="Times New Roman" w:hAnsi="Times New Roman" w:cs="Times New Roman"/>
          <w:sz w:val="24"/>
          <w:szCs w:val="24"/>
        </w:rPr>
        <w:t>dell’esecuzione dei lavori, tramite controlli formali e sostanziali sulla documentazione allegata ai SAL e ai Certificati di pagamento</w:t>
      </w:r>
      <w:r w:rsidR="00A032BF">
        <w:rPr>
          <w:rFonts w:ascii="Times New Roman" w:hAnsi="Times New Roman" w:cs="Times New Roman"/>
          <w:sz w:val="24"/>
          <w:szCs w:val="24"/>
        </w:rPr>
        <w:t>;</w:t>
      </w:r>
    </w:p>
    <w:p w14:paraId="0BECBEE6" w14:textId="376086D2" w:rsidR="00E66506" w:rsidRDefault="002A2C8F" w:rsidP="009765F6">
      <w:pPr>
        <w:pStyle w:val="Paragrafoelenco"/>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in fase di collaudo, tramite verifica </w:t>
      </w:r>
      <w:r w:rsidR="009735B6">
        <w:rPr>
          <w:rFonts w:ascii="Times New Roman" w:hAnsi="Times New Roman" w:cs="Times New Roman"/>
          <w:sz w:val="24"/>
          <w:szCs w:val="24"/>
        </w:rPr>
        <w:t>della documentazione allegata al</w:t>
      </w:r>
      <w:r w:rsidR="00137A39">
        <w:rPr>
          <w:rFonts w:ascii="Times New Roman" w:hAnsi="Times New Roman" w:cs="Times New Roman"/>
          <w:sz w:val="24"/>
          <w:szCs w:val="24"/>
        </w:rPr>
        <w:t xml:space="preserve"> Verbale di Collaudo e delle checklist ex post applicabili alla Scheda 1 Regime 1 accluse alla Guida operativa su richiamata, da caricare sul sistema Regis.</w:t>
      </w:r>
    </w:p>
    <w:p w14:paraId="133149E5" w14:textId="75430B68" w:rsidR="00FF0117" w:rsidRPr="00E569D5" w:rsidRDefault="00CB5FCE" w:rsidP="00FF0117">
      <w:pPr>
        <w:rPr>
          <w:rFonts w:ascii="Times New Roman" w:hAnsi="Times New Roman" w:cs="Times New Roman"/>
          <w:sz w:val="24"/>
          <w:szCs w:val="24"/>
        </w:rPr>
      </w:pPr>
      <w:r w:rsidRPr="00E569D5">
        <w:rPr>
          <w:rFonts w:ascii="Times New Roman" w:hAnsi="Times New Roman" w:cs="Times New Roman"/>
          <w:sz w:val="24"/>
          <w:szCs w:val="24"/>
        </w:rPr>
        <w:t xml:space="preserve">In merito alla compilazione delle checklist </w:t>
      </w:r>
      <w:r w:rsidR="00FF0117" w:rsidRPr="00E569D5">
        <w:rPr>
          <w:rFonts w:ascii="Times New Roman" w:hAnsi="Times New Roman" w:cs="Times New Roman"/>
          <w:sz w:val="24"/>
          <w:szCs w:val="24"/>
        </w:rPr>
        <w:t xml:space="preserve">DNSH, si richiama l’attenzione alle FAQ pubblicate sul sito Italia Domani al link </w:t>
      </w:r>
      <w:hyperlink r:id="rId10" w:history="1">
        <w:r w:rsidR="00FF0117" w:rsidRPr="00E569D5">
          <w:rPr>
            <w:rStyle w:val="Collegamentoipertestuale"/>
            <w:rFonts w:ascii="Times New Roman" w:hAnsi="Times New Roman" w:cs="Times New Roman"/>
            <w:sz w:val="24"/>
            <w:szCs w:val="24"/>
          </w:rPr>
          <w:t>https://www.italiadomani.gov.it/it/faq/il-principio-dnsh.html</w:t>
        </w:r>
      </w:hyperlink>
      <w:r w:rsidR="00FF0117" w:rsidRPr="00E569D5">
        <w:rPr>
          <w:rFonts w:ascii="Times New Roman" w:hAnsi="Times New Roman" w:cs="Times New Roman"/>
          <w:sz w:val="24"/>
          <w:szCs w:val="24"/>
        </w:rPr>
        <w:t xml:space="preserve">, ed in particolare al </w:t>
      </w:r>
      <w:r w:rsidR="00E569D5" w:rsidRPr="00E569D5">
        <w:rPr>
          <w:rFonts w:ascii="Times New Roman" w:hAnsi="Times New Roman" w:cs="Times New Roman"/>
          <w:sz w:val="24"/>
          <w:szCs w:val="24"/>
        </w:rPr>
        <w:t>quesito che si riporta di seguito</w:t>
      </w:r>
      <w:r w:rsidR="00FF0117" w:rsidRPr="00E569D5">
        <w:rPr>
          <w:rFonts w:ascii="Times New Roman" w:hAnsi="Times New Roman" w:cs="Times New Roman"/>
          <w:sz w:val="24"/>
          <w:szCs w:val="24"/>
        </w:rPr>
        <w:t>:</w:t>
      </w:r>
    </w:p>
    <w:p w14:paraId="64EC8864" w14:textId="77777777" w:rsidR="00FF0117" w:rsidRPr="00E569D5" w:rsidRDefault="00FF0117" w:rsidP="00E20BB0">
      <w:pPr>
        <w:jc w:val="both"/>
        <w:rPr>
          <w:rFonts w:ascii="Times New Roman" w:hAnsi="Times New Roman" w:cs="Times New Roman"/>
          <w:b/>
          <w:bCs/>
          <w:sz w:val="24"/>
          <w:szCs w:val="24"/>
        </w:rPr>
      </w:pPr>
      <w:r w:rsidRPr="00E569D5">
        <w:rPr>
          <w:rFonts w:ascii="Times New Roman" w:hAnsi="Times New Roman" w:cs="Times New Roman"/>
          <w:b/>
          <w:bCs/>
          <w:sz w:val="24"/>
          <w:szCs w:val="24"/>
        </w:rPr>
        <w:lastRenderedPageBreak/>
        <w:t>“Se si risponde “NO” o “NON APPLICABILE” a uno o più vincoli delle check list di controllo DNSH, il principio risulta comunque verificato?</w:t>
      </w:r>
    </w:p>
    <w:p w14:paraId="42841136" w14:textId="05BE760D" w:rsidR="00FF0117" w:rsidRPr="00E569D5" w:rsidRDefault="00C2376E" w:rsidP="00FF0117">
      <w:pPr>
        <w:pStyle w:val="NormaleWeb"/>
        <w:shd w:val="clear" w:color="auto" w:fill="FFFFFF"/>
        <w:spacing w:after="0"/>
        <w:rPr>
          <w:i/>
          <w:iCs/>
          <w:color w:val="000000"/>
          <w:spacing w:val="-2"/>
        </w:rPr>
      </w:pPr>
      <w:r>
        <w:rPr>
          <w:i/>
          <w:iCs/>
          <w:color w:val="000000"/>
          <w:spacing w:val="-2"/>
        </w:rPr>
        <w:t>[...]</w:t>
      </w:r>
    </w:p>
    <w:p w14:paraId="5F9511F1"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t> </w:t>
      </w:r>
    </w:p>
    <w:p w14:paraId="74DE35C5"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t>Per quanto riguarda le </w:t>
      </w:r>
      <w:r w:rsidRPr="00E569D5">
        <w:rPr>
          <w:rStyle w:val="Enfasicorsivo"/>
          <w:b/>
          <w:bCs/>
          <w:color w:val="000000"/>
          <w:spacing w:val="-2"/>
        </w:rPr>
        <w:t>check list ex ante</w:t>
      </w:r>
      <w:r w:rsidRPr="00E569D5">
        <w:rPr>
          <w:i/>
          <w:iCs/>
          <w:color w:val="000000"/>
          <w:spacing w:val="-2"/>
        </w:rPr>
        <w:t>:</w:t>
      </w:r>
    </w:p>
    <w:p w14:paraId="0BC1C400"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t> </w:t>
      </w:r>
    </w:p>
    <w:p w14:paraId="2388EA2D" w14:textId="77777777" w:rsidR="00FF0117" w:rsidRPr="00E569D5" w:rsidRDefault="00FF0117" w:rsidP="00E20BB0">
      <w:pPr>
        <w:pStyle w:val="NormaleWeb"/>
        <w:shd w:val="clear" w:color="auto" w:fill="FFFFFF"/>
        <w:spacing w:after="0"/>
        <w:ind w:left="600"/>
        <w:jc w:val="both"/>
        <w:rPr>
          <w:i/>
          <w:iCs/>
          <w:color w:val="000000"/>
          <w:spacing w:val="-2"/>
        </w:rPr>
      </w:pPr>
      <w:r w:rsidRPr="00E569D5">
        <w:rPr>
          <w:rStyle w:val="Enfasigrassetto"/>
          <w:i/>
          <w:iCs/>
          <w:color w:val="000000"/>
          <w:spacing w:val="-2"/>
        </w:rPr>
        <w:t>Risposta affermativa “SI”</w:t>
      </w:r>
      <w:r w:rsidRPr="00E569D5">
        <w:rPr>
          <w:i/>
          <w:iCs/>
          <w:color w:val="000000"/>
          <w:spacing w:val="-2"/>
        </w:rPr>
        <w:t>: rappresenta il fatto che i vincoli indicati sono stati presi in considerazione nella fase progettuale, anche eventualmente tramite certificazioni equivalenti rispetto a quelle individuata nella check list, da indicare puntualmente. Nei casi in cui è applicabile, l’inserimento dei Criteri Ambientali Minimi (CAM) nelle procedure di gara consente di assolvere ad una buona parte degli adempimenti DNSH e se ne raccomanda pertanto l’utilizzo.</w:t>
      </w:r>
    </w:p>
    <w:p w14:paraId="568C8056" w14:textId="77777777" w:rsidR="00FF0117" w:rsidRPr="00E569D5" w:rsidRDefault="00FF0117" w:rsidP="00E20BB0">
      <w:pPr>
        <w:pStyle w:val="NormaleWeb"/>
        <w:shd w:val="clear" w:color="auto" w:fill="FFFFFF"/>
        <w:spacing w:after="0"/>
        <w:ind w:left="600"/>
        <w:jc w:val="both"/>
        <w:rPr>
          <w:i/>
          <w:iCs/>
          <w:color w:val="000000"/>
          <w:spacing w:val="-2"/>
        </w:rPr>
      </w:pPr>
      <w:r w:rsidRPr="00E569D5">
        <w:rPr>
          <w:rStyle w:val="Enfasigrassetto"/>
          <w:i/>
          <w:iCs/>
          <w:color w:val="000000"/>
          <w:spacing w:val="-2"/>
        </w:rPr>
        <w:t>Risposta “NON APPLICABILE”</w:t>
      </w:r>
      <w:r w:rsidRPr="00E569D5">
        <w:rPr>
          <w:i/>
          <w:iCs/>
          <w:color w:val="000000"/>
          <w:spacing w:val="-2"/>
        </w:rPr>
        <w:t>: come specificato non tutti i vincoli sono necessariamente applicabili a tutti gli interventi. Infatti, nel caso in cui l’intervento non abbia contemplato attività che giustificano la necessità di verificare un vincolo, nella colonna “NON APPLICABILE” andranno esplicitate le ragioni di non applicabilità. Esempi di non applicabilità possono essere:</w:t>
      </w:r>
    </w:p>
    <w:p w14:paraId="672441BA" w14:textId="77777777" w:rsidR="00FF0117" w:rsidRPr="00E569D5" w:rsidRDefault="00FF0117" w:rsidP="00FF0117">
      <w:pPr>
        <w:pStyle w:val="NormaleWeb"/>
        <w:shd w:val="clear" w:color="auto" w:fill="FFFFFF"/>
        <w:spacing w:after="0"/>
        <w:ind w:left="600"/>
        <w:rPr>
          <w:i/>
          <w:iCs/>
          <w:color w:val="000000"/>
          <w:spacing w:val="-2"/>
        </w:rPr>
      </w:pPr>
      <w:r w:rsidRPr="00E569D5">
        <w:rPr>
          <w:i/>
          <w:iCs/>
          <w:color w:val="000000"/>
          <w:spacing w:val="-2"/>
        </w:rPr>
        <w:t> </w:t>
      </w:r>
    </w:p>
    <w:p w14:paraId="74FA5848" w14:textId="77777777" w:rsidR="00FF0117" w:rsidRPr="00E569D5" w:rsidRDefault="00FF0117" w:rsidP="00E20BB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pacing w:val="-2"/>
          <w:sz w:val="24"/>
          <w:szCs w:val="24"/>
        </w:rPr>
      </w:pPr>
      <w:r w:rsidRPr="00E569D5">
        <w:rPr>
          <w:rFonts w:ascii="Times New Roman" w:eastAsia="Times New Roman" w:hAnsi="Times New Roman" w:cs="Times New Roman"/>
          <w:i/>
          <w:iCs/>
          <w:color w:val="000000"/>
          <w:spacing w:val="-2"/>
          <w:sz w:val="24"/>
          <w:szCs w:val="24"/>
        </w:rPr>
        <w:t>nel caso di ristrutturazioni di edifici che non hanno comportato il rifacimento degli impianti idrici, non sono applicabili i requisiti di risparmio idrico DNSH richiamati per le utenze;</w:t>
      </w:r>
    </w:p>
    <w:p w14:paraId="4319A895" w14:textId="77777777" w:rsidR="00FF0117" w:rsidRPr="00E569D5" w:rsidRDefault="00FF0117" w:rsidP="00E20BB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pacing w:val="-2"/>
          <w:sz w:val="24"/>
          <w:szCs w:val="24"/>
        </w:rPr>
      </w:pPr>
      <w:r w:rsidRPr="00E569D5">
        <w:rPr>
          <w:rFonts w:ascii="Times New Roman" w:eastAsia="Times New Roman" w:hAnsi="Times New Roman" w:cs="Times New Roman"/>
          <w:i/>
          <w:iCs/>
          <w:color w:val="000000"/>
          <w:spacing w:val="-2"/>
          <w:sz w:val="24"/>
          <w:szCs w:val="24"/>
        </w:rPr>
        <w:t>nel caso di interventi di ristrutturazione su edifici costruiti successivamente al bando dell’amianto (1992), non è necessario svolgere un censimento dei Manufatti Contenenti Amianto;</w:t>
      </w:r>
    </w:p>
    <w:p w14:paraId="4A6541A8" w14:textId="77777777" w:rsidR="00FF0117" w:rsidRPr="00E569D5" w:rsidRDefault="00FF0117" w:rsidP="00E20BB0">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pacing w:val="-2"/>
          <w:sz w:val="24"/>
          <w:szCs w:val="24"/>
        </w:rPr>
      </w:pPr>
      <w:r w:rsidRPr="00E569D5">
        <w:rPr>
          <w:rFonts w:ascii="Times New Roman" w:eastAsia="Times New Roman" w:hAnsi="Times New Roman" w:cs="Times New Roman"/>
          <w:i/>
          <w:iCs/>
          <w:color w:val="000000"/>
          <w:spacing w:val="-2"/>
          <w:sz w:val="24"/>
          <w:szCs w:val="24"/>
        </w:rPr>
        <w:t>nel caso di interventi che non hanno comportato la produzione di rifiuti da demolizione, non si applica il requisito della destinazione ad una operazione “R” (recupero rifiuti) del 70% in peso dei rifiuti da demolizione e costruzione. </w:t>
      </w:r>
    </w:p>
    <w:p w14:paraId="2994A898"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t> </w:t>
      </w:r>
    </w:p>
    <w:p w14:paraId="47148B89" w14:textId="77777777" w:rsidR="00FF0117" w:rsidRPr="00E569D5" w:rsidRDefault="00FF0117" w:rsidP="00E20BB0">
      <w:pPr>
        <w:pStyle w:val="NormaleWeb"/>
        <w:shd w:val="clear" w:color="auto" w:fill="FFFFFF"/>
        <w:spacing w:after="0"/>
        <w:ind w:left="600"/>
        <w:jc w:val="both"/>
        <w:rPr>
          <w:i/>
          <w:iCs/>
          <w:color w:val="000000"/>
          <w:spacing w:val="-2"/>
        </w:rPr>
      </w:pPr>
      <w:r w:rsidRPr="00E569D5">
        <w:rPr>
          <w:rStyle w:val="Enfasigrassetto"/>
          <w:i/>
          <w:iCs/>
          <w:color w:val="000000"/>
          <w:spacing w:val="-2"/>
        </w:rPr>
        <w:t>Risposta negativa “NO”</w:t>
      </w:r>
      <w:r w:rsidRPr="00E569D5">
        <w:rPr>
          <w:i/>
          <w:iCs/>
          <w:color w:val="000000"/>
          <w:spacing w:val="-2"/>
        </w:rPr>
        <w:t>: Se il vincolo è applicabile, ma non è stato ancora tenuto in conto, andrà esplicitamente indicato, avuto riguardo al caso specifico:</w:t>
      </w:r>
    </w:p>
    <w:p w14:paraId="7A39E912" w14:textId="77777777" w:rsidR="00FF0117" w:rsidRPr="00E569D5" w:rsidRDefault="00FF0117" w:rsidP="00FF0117">
      <w:pPr>
        <w:pStyle w:val="NormaleWeb"/>
        <w:shd w:val="clear" w:color="auto" w:fill="FFFFFF"/>
        <w:spacing w:after="0"/>
        <w:ind w:left="600"/>
        <w:rPr>
          <w:i/>
          <w:iCs/>
          <w:color w:val="000000"/>
          <w:spacing w:val="-2"/>
        </w:rPr>
      </w:pPr>
      <w:r w:rsidRPr="00E569D5">
        <w:rPr>
          <w:i/>
          <w:iCs/>
          <w:color w:val="000000"/>
          <w:spacing w:val="-2"/>
        </w:rPr>
        <w:t> </w:t>
      </w:r>
    </w:p>
    <w:p w14:paraId="1AAF63BC" w14:textId="77777777" w:rsidR="00FF0117" w:rsidRPr="00E569D5" w:rsidRDefault="00FF0117" w:rsidP="00FF0117">
      <w:pPr>
        <w:pStyle w:val="NormaleWeb"/>
        <w:shd w:val="clear" w:color="auto" w:fill="FFFFFF"/>
        <w:spacing w:after="0"/>
        <w:rPr>
          <w:i/>
          <w:iCs/>
          <w:color w:val="000000"/>
          <w:spacing w:val="-2"/>
        </w:rPr>
      </w:pPr>
      <w:r w:rsidRPr="00E569D5">
        <w:rPr>
          <w:rStyle w:val="Enfasigrassetto"/>
          <w:i/>
          <w:iCs/>
          <w:color w:val="000000"/>
          <w:spacing w:val="-2"/>
        </w:rPr>
        <w:t>1) </w:t>
      </w:r>
      <w:r w:rsidRPr="00E569D5">
        <w:rPr>
          <w:i/>
          <w:iCs/>
          <w:color w:val="000000"/>
          <w:spacing w:val="-2"/>
        </w:rPr>
        <w:t>che è possibile sanare tale lacuna;</w:t>
      </w:r>
    </w:p>
    <w:p w14:paraId="5591D114" w14:textId="77777777" w:rsidR="00FF0117" w:rsidRPr="00E569D5" w:rsidRDefault="00FF0117" w:rsidP="00FF0117">
      <w:pPr>
        <w:pStyle w:val="NormaleWeb"/>
        <w:shd w:val="clear" w:color="auto" w:fill="FFFFFF"/>
        <w:spacing w:after="0"/>
        <w:rPr>
          <w:i/>
          <w:iCs/>
          <w:color w:val="000000"/>
          <w:spacing w:val="-2"/>
        </w:rPr>
      </w:pPr>
      <w:r w:rsidRPr="00E569D5">
        <w:rPr>
          <w:rStyle w:val="Enfasigrassetto"/>
          <w:i/>
          <w:iCs/>
          <w:color w:val="000000"/>
          <w:spacing w:val="-2"/>
        </w:rPr>
        <w:t>2) </w:t>
      </w:r>
      <w:r w:rsidRPr="00E569D5">
        <w:rPr>
          <w:i/>
          <w:iCs/>
          <w:color w:val="000000"/>
          <w:spacing w:val="-2"/>
        </w:rPr>
        <w:t>le tempistiche entro le quali sarà posto rimedio.</w:t>
      </w:r>
    </w:p>
    <w:p w14:paraId="560EC56E"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t> </w:t>
      </w:r>
    </w:p>
    <w:p w14:paraId="0FB8ECA6" w14:textId="77777777" w:rsidR="00FF0117" w:rsidRPr="00E569D5" w:rsidRDefault="00FF0117" w:rsidP="00E20BB0">
      <w:pPr>
        <w:pStyle w:val="NormaleWeb"/>
        <w:shd w:val="clear" w:color="auto" w:fill="FFFFFF"/>
        <w:spacing w:after="0"/>
        <w:jc w:val="both"/>
        <w:rPr>
          <w:i/>
          <w:iCs/>
          <w:color w:val="000000"/>
          <w:spacing w:val="-2"/>
        </w:rPr>
      </w:pPr>
      <w:r w:rsidRPr="00E569D5">
        <w:rPr>
          <w:i/>
          <w:iCs/>
          <w:color w:val="000000"/>
          <w:spacing w:val="-2"/>
        </w:rPr>
        <w:t>Con riferimento alle </w:t>
      </w:r>
      <w:r w:rsidRPr="00E569D5">
        <w:rPr>
          <w:rStyle w:val="Enfasicorsivo"/>
          <w:b/>
          <w:bCs/>
          <w:color w:val="000000"/>
          <w:spacing w:val="-2"/>
        </w:rPr>
        <w:t>check list ex post</w:t>
      </w:r>
      <w:r w:rsidRPr="00E569D5">
        <w:rPr>
          <w:i/>
          <w:iCs/>
          <w:color w:val="000000"/>
          <w:spacing w:val="-2"/>
        </w:rPr>
        <w:t>, si raccomanda di fornire ogni elemento utile a consentire di verificare positivamente tutti i vincoli applicabili ai progetti:</w:t>
      </w:r>
    </w:p>
    <w:p w14:paraId="445B4E0F"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t> </w:t>
      </w:r>
    </w:p>
    <w:p w14:paraId="7DCE604D" w14:textId="77777777" w:rsidR="00FF0117" w:rsidRPr="00E569D5" w:rsidRDefault="00FF0117" w:rsidP="00E20BB0">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i/>
          <w:iCs/>
          <w:color w:val="000000"/>
          <w:spacing w:val="-2"/>
          <w:sz w:val="24"/>
          <w:szCs w:val="24"/>
        </w:rPr>
      </w:pPr>
      <w:r w:rsidRPr="00E569D5">
        <w:rPr>
          <w:rFonts w:ascii="Times New Roman" w:eastAsia="Times New Roman" w:hAnsi="Times New Roman" w:cs="Times New Roman"/>
          <w:i/>
          <w:iCs/>
          <w:color w:val="000000"/>
          <w:spacing w:val="-2"/>
          <w:sz w:val="24"/>
          <w:szCs w:val="24"/>
        </w:rPr>
        <w:t>quindi con </w:t>
      </w:r>
      <w:r w:rsidRPr="00E569D5">
        <w:rPr>
          <w:rStyle w:val="Enfasigrassetto"/>
          <w:rFonts w:ascii="Times New Roman" w:eastAsia="Times New Roman" w:hAnsi="Times New Roman" w:cs="Times New Roman"/>
          <w:i/>
          <w:iCs/>
          <w:color w:val="000000"/>
          <w:spacing w:val="-2"/>
          <w:sz w:val="24"/>
          <w:szCs w:val="24"/>
        </w:rPr>
        <w:t>risposta “SI”</w:t>
      </w:r>
      <w:r w:rsidRPr="00E569D5">
        <w:rPr>
          <w:rFonts w:ascii="Times New Roman" w:eastAsia="Times New Roman" w:hAnsi="Times New Roman" w:cs="Times New Roman"/>
          <w:i/>
          <w:iCs/>
          <w:color w:val="000000"/>
          <w:spacing w:val="-2"/>
          <w:sz w:val="24"/>
          <w:szCs w:val="24"/>
        </w:rPr>
        <w:t>, se il requisito è soddisfatto anche in caso si disponga di eventuali certificazioni equivalenti o siano state adottate le relative misure di mitigazione.</w:t>
      </w:r>
    </w:p>
    <w:p w14:paraId="7151556B" w14:textId="77777777" w:rsidR="00FF0117" w:rsidRPr="00E569D5" w:rsidRDefault="00FF0117" w:rsidP="00FF0117">
      <w:pPr>
        <w:numPr>
          <w:ilvl w:val="0"/>
          <w:numId w:val="16"/>
        </w:numPr>
        <w:shd w:val="clear" w:color="auto" w:fill="FFFFFF"/>
        <w:spacing w:before="100" w:beforeAutospacing="1" w:after="100" w:afterAutospacing="1" w:line="240" w:lineRule="auto"/>
        <w:rPr>
          <w:rFonts w:ascii="Times New Roman" w:eastAsia="Times New Roman" w:hAnsi="Times New Roman" w:cs="Times New Roman"/>
          <w:i/>
          <w:iCs/>
          <w:color w:val="000000"/>
          <w:spacing w:val="-2"/>
          <w:sz w:val="24"/>
          <w:szCs w:val="24"/>
        </w:rPr>
      </w:pPr>
      <w:r w:rsidRPr="00E569D5">
        <w:rPr>
          <w:rFonts w:ascii="Times New Roman" w:eastAsia="Times New Roman" w:hAnsi="Times New Roman" w:cs="Times New Roman"/>
          <w:i/>
          <w:iCs/>
          <w:color w:val="000000"/>
          <w:spacing w:val="-2"/>
          <w:sz w:val="24"/>
          <w:szCs w:val="24"/>
        </w:rPr>
        <w:t>con risposta </w:t>
      </w:r>
      <w:r w:rsidRPr="00E569D5">
        <w:rPr>
          <w:rStyle w:val="Enfasigrassetto"/>
          <w:rFonts w:ascii="Times New Roman" w:eastAsia="Times New Roman" w:hAnsi="Times New Roman" w:cs="Times New Roman"/>
          <w:i/>
          <w:iCs/>
          <w:color w:val="000000"/>
          <w:spacing w:val="-2"/>
          <w:sz w:val="24"/>
          <w:szCs w:val="24"/>
        </w:rPr>
        <w:t>“NON APPLICABILE”</w:t>
      </w:r>
      <w:r w:rsidRPr="00E569D5">
        <w:rPr>
          <w:rFonts w:ascii="Times New Roman" w:eastAsia="Times New Roman" w:hAnsi="Times New Roman" w:cs="Times New Roman"/>
          <w:i/>
          <w:iCs/>
          <w:color w:val="000000"/>
          <w:spacing w:val="-2"/>
          <w:sz w:val="24"/>
          <w:szCs w:val="24"/>
        </w:rPr>
        <w:t> specificando le motivazioni.</w:t>
      </w:r>
    </w:p>
    <w:p w14:paraId="5846D5FE"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t> </w:t>
      </w:r>
    </w:p>
    <w:p w14:paraId="308C4F4F" w14:textId="77777777" w:rsidR="00FF0117" w:rsidRPr="00E569D5" w:rsidRDefault="00FF0117" w:rsidP="00E20BB0">
      <w:pPr>
        <w:pStyle w:val="NormaleWeb"/>
        <w:shd w:val="clear" w:color="auto" w:fill="FFFFFF"/>
        <w:spacing w:after="0"/>
        <w:jc w:val="both"/>
        <w:rPr>
          <w:i/>
          <w:iCs/>
          <w:color w:val="000000"/>
          <w:spacing w:val="-2"/>
        </w:rPr>
      </w:pPr>
      <w:r w:rsidRPr="00E569D5">
        <w:rPr>
          <w:i/>
          <w:iCs/>
          <w:color w:val="000000"/>
          <w:spacing w:val="-2"/>
        </w:rPr>
        <w:t>Eventuali risposte</w:t>
      </w:r>
      <w:r w:rsidRPr="00E569D5">
        <w:rPr>
          <w:rStyle w:val="Enfasigrassetto"/>
          <w:i/>
          <w:iCs/>
          <w:color w:val="000000"/>
          <w:spacing w:val="-2"/>
        </w:rPr>
        <w:t> NO</w:t>
      </w:r>
      <w:r w:rsidRPr="00E569D5">
        <w:rPr>
          <w:i/>
          <w:iCs/>
          <w:color w:val="000000"/>
          <w:spacing w:val="-2"/>
        </w:rPr>
        <w:t> che dovessero residuare, ovvero nei casi in cui il vincolo non è stato sanabile e/o non sono state adottate misure di mitigazione, implicheranno la non conformità al DNSH del progetto.</w:t>
      </w:r>
    </w:p>
    <w:p w14:paraId="11CB61F8" w14:textId="77777777" w:rsidR="00FF0117" w:rsidRPr="00E569D5" w:rsidRDefault="00FF0117" w:rsidP="00FF0117">
      <w:pPr>
        <w:pStyle w:val="NormaleWeb"/>
        <w:shd w:val="clear" w:color="auto" w:fill="FFFFFF"/>
        <w:spacing w:after="0"/>
        <w:rPr>
          <w:i/>
          <w:iCs/>
          <w:color w:val="000000"/>
          <w:spacing w:val="-2"/>
        </w:rPr>
      </w:pPr>
      <w:r w:rsidRPr="00E569D5">
        <w:rPr>
          <w:i/>
          <w:iCs/>
          <w:color w:val="000000"/>
          <w:spacing w:val="-2"/>
        </w:rPr>
        <w:lastRenderedPageBreak/>
        <w:t> </w:t>
      </w:r>
    </w:p>
    <w:p w14:paraId="427A1985" w14:textId="77777777" w:rsidR="00FF0117" w:rsidRPr="00E569D5" w:rsidRDefault="00FF0117" w:rsidP="00E20BB0">
      <w:pPr>
        <w:pStyle w:val="NormaleWeb"/>
        <w:shd w:val="clear" w:color="auto" w:fill="FFFFFF"/>
        <w:spacing w:after="0"/>
        <w:jc w:val="both"/>
        <w:rPr>
          <w:i/>
          <w:iCs/>
          <w:color w:val="000000"/>
          <w:spacing w:val="-2"/>
        </w:rPr>
      </w:pPr>
      <w:r w:rsidRPr="00E569D5">
        <w:rPr>
          <w:i/>
          <w:iCs/>
          <w:color w:val="000000"/>
          <w:spacing w:val="-2"/>
        </w:rPr>
        <w:t>Resta in ogni caso alle Amministrazioni titolari la valutazione delle </w:t>
      </w:r>
      <w:r w:rsidRPr="00E569D5">
        <w:rPr>
          <w:rStyle w:val="Enfasicorsivo"/>
          <w:color w:val="000000"/>
          <w:spacing w:val="-2"/>
        </w:rPr>
        <w:t>check list</w:t>
      </w:r>
      <w:r w:rsidRPr="00E569D5">
        <w:rPr>
          <w:i/>
          <w:iCs/>
          <w:color w:val="000000"/>
          <w:spacing w:val="-2"/>
        </w:rPr>
        <w:t> compilate e la conseguente decisione ultima su quali interventi portare a rendicontazione.”</w:t>
      </w:r>
    </w:p>
    <w:p w14:paraId="1FDBBB33" w14:textId="6131E685" w:rsidR="00CB5FCE" w:rsidRPr="00E569D5" w:rsidRDefault="00CB5FCE" w:rsidP="00CB5FCE">
      <w:pPr>
        <w:jc w:val="both"/>
        <w:rPr>
          <w:rFonts w:ascii="Times New Roman" w:hAnsi="Times New Roman" w:cs="Times New Roman"/>
          <w:sz w:val="24"/>
          <w:szCs w:val="24"/>
        </w:rPr>
      </w:pPr>
    </w:p>
    <w:sectPr w:rsidR="00CB5FCE" w:rsidRPr="00E569D5">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3544" w14:textId="77777777" w:rsidR="000041FF" w:rsidRDefault="000041FF" w:rsidP="00E928F5">
      <w:pPr>
        <w:spacing w:after="0" w:line="240" w:lineRule="auto"/>
      </w:pPr>
      <w:r>
        <w:separator/>
      </w:r>
    </w:p>
  </w:endnote>
  <w:endnote w:type="continuationSeparator" w:id="0">
    <w:p w14:paraId="5F5E7102" w14:textId="77777777" w:rsidR="000041FF" w:rsidRDefault="000041FF" w:rsidP="00E928F5">
      <w:pPr>
        <w:spacing w:after="0" w:line="240" w:lineRule="auto"/>
      </w:pPr>
      <w:r>
        <w:continuationSeparator/>
      </w:r>
    </w:p>
  </w:endnote>
  <w:endnote w:type="continuationNotice" w:id="1">
    <w:p w14:paraId="4E741894" w14:textId="77777777" w:rsidR="000041FF" w:rsidRDefault="00004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285419"/>
      <w:docPartObj>
        <w:docPartGallery w:val="Page Numbers (Bottom of Page)"/>
        <w:docPartUnique/>
      </w:docPartObj>
    </w:sdtPr>
    <w:sdtEndPr/>
    <w:sdtContent>
      <w:p w14:paraId="77E456F6" w14:textId="437A3A49" w:rsidR="00894E84" w:rsidRDefault="00894E84">
        <w:pPr>
          <w:pStyle w:val="Pidipagina"/>
          <w:jc w:val="right"/>
        </w:pPr>
        <w:r>
          <w:fldChar w:fldCharType="begin"/>
        </w:r>
        <w:r>
          <w:instrText>PAGE   \* MERGEFORMAT</w:instrText>
        </w:r>
        <w:r>
          <w:fldChar w:fldCharType="separate"/>
        </w:r>
        <w:r>
          <w:t>2</w:t>
        </w:r>
        <w:r>
          <w:fldChar w:fldCharType="end"/>
        </w:r>
      </w:p>
    </w:sdtContent>
  </w:sdt>
  <w:p w14:paraId="0951861C" w14:textId="77777777" w:rsidR="00894E84" w:rsidRDefault="00894E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C25F0" w14:textId="77777777" w:rsidR="000041FF" w:rsidRDefault="000041FF" w:rsidP="00E928F5">
      <w:pPr>
        <w:spacing w:after="0" w:line="240" w:lineRule="auto"/>
      </w:pPr>
      <w:r>
        <w:separator/>
      </w:r>
    </w:p>
  </w:footnote>
  <w:footnote w:type="continuationSeparator" w:id="0">
    <w:p w14:paraId="4427E273" w14:textId="77777777" w:rsidR="000041FF" w:rsidRDefault="000041FF" w:rsidP="00E928F5">
      <w:pPr>
        <w:spacing w:after="0" w:line="240" w:lineRule="auto"/>
      </w:pPr>
      <w:r>
        <w:continuationSeparator/>
      </w:r>
    </w:p>
  </w:footnote>
  <w:footnote w:type="continuationNotice" w:id="1">
    <w:p w14:paraId="7D552958" w14:textId="77777777" w:rsidR="000041FF" w:rsidRDefault="00004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D029" w14:textId="7A0F5C93" w:rsidR="000375D7" w:rsidRDefault="00676760">
    <w:pPr>
      <w:pStyle w:val="Intestazione"/>
    </w:pPr>
    <w:r>
      <w:rPr>
        <w:noProof/>
      </w:rPr>
      <w:drawing>
        <wp:inline distT="0" distB="0" distL="0" distR="0" wp14:anchorId="08CA99D5" wp14:editId="7EC91F5F">
          <wp:extent cx="2365375" cy="628015"/>
          <wp:effectExtent l="0" t="0" r="0" b="635"/>
          <wp:docPr id="18446398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628015"/>
                  </a:xfrm>
                  <a:prstGeom prst="rect">
                    <a:avLst/>
                  </a:prstGeom>
                  <a:noFill/>
                </pic:spPr>
              </pic:pic>
            </a:graphicData>
          </a:graphic>
        </wp:inline>
      </w:drawing>
    </w:r>
    <w:r w:rsidR="00D447FF">
      <w:t xml:space="preserve">                                                </w:t>
    </w:r>
    <w:r w:rsidR="005D0551">
      <w:rPr>
        <w:noProof/>
      </w:rPr>
      <w:drawing>
        <wp:inline distT="0" distB="0" distL="0" distR="0" wp14:anchorId="708E5DCB" wp14:editId="389F7F4E">
          <wp:extent cx="1896110" cy="518160"/>
          <wp:effectExtent l="155575" t="0" r="183515" b="0"/>
          <wp:docPr id="3490925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110" cy="518160"/>
                  </a:xfrm>
                  <a:prstGeom prst="rect">
                    <a:avLst/>
                  </a:prstGeom>
                  <a:noFill/>
                </pic:spPr>
              </pic:pic>
            </a:graphicData>
          </a:graphic>
        </wp:inline>
      </w:drawing>
    </w:r>
  </w:p>
  <w:p w14:paraId="77BCAC47" w14:textId="77777777" w:rsidR="00A542E8" w:rsidRDefault="00A542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FE9"/>
    <w:multiLevelType w:val="multilevel"/>
    <w:tmpl w:val="9028CD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497F"/>
    <w:multiLevelType w:val="hybridMultilevel"/>
    <w:tmpl w:val="8FD4228C"/>
    <w:lvl w:ilvl="0" w:tplc="96ACAFE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31BE3"/>
    <w:multiLevelType w:val="hybridMultilevel"/>
    <w:tmpl w:val="8CFC4618"/>
    <w:lvl w:ilvl="0" w:tplc="796E02D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96415D"/>
    <w:multiLevelType w:val="hybridMultilevel"/>
    <w:tmpl w:val="296A0DD2"/>
    <w:lvl w:ilvl="0" w:tplc="04100017">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1C5054C5"/>
    <w:multiLevelType w:val="hybridMultilevel"/>
    <w:tmpl w:val="CA1411E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0536E2"/>
    <w:multiLevelType w:val="hybridMultilevel"/>
    <w:tmpl w:val="05F6EF56"/>
    <w:lvl w:ilvl="0" w:tplc="96ACAFE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49204B"/>
    <w:multiLevelType w:val="hybridMultilevel"/>
    <w:tmpl w:val="2F1812EE"/>
    <w:lvl w:ilvl="0" w:tplc="0410000D">
      <w:start w:val="1"/>
      <w:numFmt w:val="bullet"/>
      <w:lvlText w:val=""/>
      <w:lvlJc w:val="left"/>
      <w:pPr>
        <w:ind w:left="1026" w:hanging="360"/>
      </w:pPr>
      <w:rPr>
        <w:rFonts w:ascii="Wingdings" w:hAnsi="Wingdings"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7" w15:restartNumberingAfterBreak="0">
    <w:nsid w:val="2A4B3C58"/>
    <w:multiLevelType w:val="hybridMultilevel"/>
    <w:tmpl w:val="71A6788E"/>
    <w:lvl w:ilvl="0" w:tplc="FB907D9C">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339B05A5"/>
    <w:multiLevelType w:val="hybridMultilevel"/>
    <w:tmpl w:val="8428665E"/>
    <w:lvl w:ilvl="0" w:tplc="459004E8">
      <w:start w:val="1"/>
      <w:numFmt w:val="bullet"/>
      <w:lvlText w:val=""/>
      <w:lvlJc w:val="left"/>
      <w:pPr>
        <w:ind w:left="1026" w:hanging="360"/>
      </w:pPr>
      <w:rPr>
        <w:rFonts w:ascii="Symbol" w:hAnsi="Symbol" w:hint="default"/>
      </w:rPr>
    </w:lvl>
    <w:lvl w:ilvl="1" w:tplc="04100003" w:tentative="1">
      <w:start w:val="1"/>
      <w:numFmt w:val="bullet"/>
      <w:lvlText w:val="o"/>
      <w:lvlJc w:val="left"/>
      <w:pPr>
        <w:ind w:left="1746" w:hanging="360"/>
      </w:pPr>
      <w:rPr>
        <w:rFonts w:ascii="Courier New" w:hAnsi="Courier New" w:cs="Courier New" w:hint="default"/>
      </w:rPr>
    </w:lvl>
    <w:lvl w:ilvl="2" w:tplc="04100005" w:tentative="1">
      <w:start w:val="1"/>
      <w:numFmt w:val="bullet"/>
      <w:lvlText w:val=""/>
      <w:lvlJc w:val="left"/>
      <w:pPr>
        <w:ind w:left="2466" w:hanging="360"/>
      </w:pPr>
      <w:rPr>
        <w:rFonts w:ascii="Wingdings" w:hAnsi="Wingdings" w:hint="default"/>
      </w:rPr>
    </w:lvl>
    <w:lvl w:ilvl="3" w:tplc="04100001" w:tentative="1">
      <w:start w:val="1"/>
      <w:numFmt w:val="bullet"/>
      <w:lvlText w:val=""/>
      <w:lvlJc w:val="left"/>
      <w:pPr>
        <w:ind w:left="3186" w:hanging="360"/>
      </w:pPr>
      <w:rPr>
        <w:rFonts w:ascii="Symbol" w:hAnsi="Symbol" w:hint="default"/>
      </w:rPr>
    </w:lvl>
    <w:lvl w:ilvl="4" w:tplc="04100003" w:tentative="1">
      <w:start w:val="1"/>
      <w:numFmt w:val="bullet"/>
      <w:lvlText w:val="o"/>
      <w:lvlJc w:val="left"/>
      <w:pPr>
        <w:ind w:left="3906" w:hanging="360"/>
      </w:pPr>
      <w:rPr>
        <w:rFonts w:ascii="Courier New" w:hAnsi="Courier New" w:cs="Courier New" w:hint="default"/>
      </w:rPr>
    </w:lvl>
    <w:lvl w:ilvl="5" w:tplc="04100005" w:tentative="1">
      <w:start w:val="1"/>
      <w:numFmt w:val="bullet"/>
      <w:lvlText w:val=""/>
      <w:lvlJc w:val="left"/>
      <w:pPr>
        <w:ind w:left="4626" w:hanging="360"/>
      </w:pPr>
      <w:rPr>
        <w:rFonts w:ascii="Wingdings" w:hAnsi="Wingdings" w:hint="default"/>
      </w:rPr>
    </w:lvl>
    <w:lvl w:ilvl="6" w:tplc="04100001" w:tentative="1">
      <w:start w:val="1"/>
      <w:numFmt w:val="bullet"/>
      <w:lvlText w:val=""/>
      <w:lvlJc w:val="left"/>
      <w:pPr>
        <w:ind w:left="5346" w:hanging="360"/>
      </w:pPr>
      <w:rPr>
        <w:rFonts w:ascii="Symbol" w:hAnsi="Symbol" w:hint="default"/>
      </w:rPr>
    </w:lvl>
    <w:lvl w:ilvl="7" w:tplc="04100003" w:tentative="1">
      <w:start w:val="1"/>
      <w:numFmt w:val="bullet"/>
      <w:lvlText w:val="o"/>
      <w:lvlJc w:val="left"/>
      <w:pPr>
        <w:ind w:left="6066" w:hanging="360"/>
      </w:pPr>
      <w:rPr>
        <w:rFonts w:ascii="Courier New" w:hAnsi="Courier New" w:cs="Courier New" w:hint="default"/>
      </w:rPr>
    </w:lvl>
    <w:lvl w:ilvl="8" w:tplc="04100005" w:tentative="1">
      <w:start w:val="1"/>
      <w:numFmt w:val="bullet"/>
      <w:lvlText w:val=""/>
      <w:lvlJc w:val="left"/>
      <w:pPr>
        <w:ind w:left="6786" w:hanging="360"/>
      </w:pPr>
      <w:rPr>
        <w:rFonts w:ascii="Wingdings" w:hAnsi="Wingdings" w:hint="default"/>
      </w:rPr>
    </w:lvl>
  </w:abstractNum>
  <w:abstractNum w:abstractNumId="9" w15:restartNumberingAfterBreak="0">
    <w:nsid w:val="35AF4A36"/>
    <w:multiLevelType w:val="hybridMultilevel"/>
    <w:tmpl w:val="9FF64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BC226A"/>
    <w:multiLevelType w:val="multilevel"/>
    <w:tmpl w:val="C57C98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92C5F"/>
    <w:multiLevelType w:val="hybridMultilevel"/>
    <w:tmpl w:val="CAAA7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5C0F2C"/>
    <w:multiLevelType w:val="hybridMultilevel"/>
    <w:tmpl w:val="6E366A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1A5B12"/>
    <w:multiLevelType w:val="hybridMultilevel"/>
    <w:tmpl w:val="4EFEF274"/>
    <w:lvl w:ilvl="0" w:tplc="3EE42B16">
      <w:numFmt w:val="bullet"/>
      <w:lvlText w:val=""/>
      <w:lvlJc w:val="left"/>
      <w:pPr>
        <w:ind w:left="666" w:hanging="360"/>
      </w:pPr>
      <w:rPr>
        <w:rFonts w:ascii="Symbol" w:eastAsiaTheme="minorHAnsi" w:hAnsi="Symbol" w:cs="Times New Roman" w:hint="default"/>
      </w:rPr>
    </w:lvl>
    <w:lvl w:ilvl="1" w:tplc="04100003" w:tentative="1">
      <w:start w:val="1"/>
      <w:numFmt w:val="bullet"/>
      <w:lvlText w:val="o"/>
      <w:lvlJc w:val="left"/>
      <w:pPr>
        <w:ind w:left="1386" w:hanging="360"/>
      </w:pPr>
      <w:rPr>
        <w:rFonts w:ascii="Courier New" w:hAnsi="Courier New" w:cs="Courier New" w:hint="default"/>
      </w:rPr>
    </w:lvl>
    <w:lvl w:ilvl="2" w:tplc="04100005" w:tentative="1">
      <w:start w:val="1"/>
      <w:numFmt w:val="bullet"/>
      <w:lvlText w:val=""/>
      <w:lvlJc w:val="left"/>
      <w:pPr>
        <w:ind w:left="2106" w:hanging="360"/>
      </w:pPr>
      <w:rPr>
        <w:rFonts w:ascii="Wingdings" w:hAnsi="Wingdings" w:hint="default"/>
      </w:rPr>
    </w:lvl>
    <w:lvl w:ilvl="3" w:tplc="04100001" w:tentative="1">
      <w:start w:val="1"/>
      <w:numFmt w:val="bullet"/>
      <w:lvlText w:val=""/>
      <w:lvlJc w:val="left"/>
      <w:pPr>
        <w:ind w:left="2826" w:hanging="360"/>
      </w:pPr>
      <w:rPr>
        <w:rFonts w:ascii="Symbol" w:hAnsi="Symbol" w:hint="default"/>
      </w:rPr>
    </w:lvl>
    <w:lvl w:ilvl="4" w:tplc="04100003" w:tentative="1">
      <w:start w:val="1"/>
      <w:numFmt w:val="bullet"/>
      <w:lvlText w:val="o"/>
      <w:lvlJc w:val="left"/>
      <w:pPr>
        <w:ind w:left="3546" w:hanging="360"/>
      </w:pPr>
      <w:rPr>
        <w:rFonts w:ascii="Courier New" w:hAnsi="Courier New" w:cs="Courier New" w:hint="default"/>
      </w:rPr>
    </w:lvl>
    <w:lvl w:ilvl="5" w:tplc="04100005" w:tentative="1">
      <w:start w:val="1"/>
      <w:numFmt w:val="bullet"/>
      <w:lvlText w:val=""/>
      <w:lvlJc w:val="left"/>
      <w:pPr>
        <w:ind w:left="4266" w:hanging="360"/>
      </w:pPr>
      <w:rPr>
        <w:rFonts w:ascii="Wingdings" w:hAnsi="Wingdings" w:hint="default"/>
      </w:rPr>
    </w:lvl>
    <w:lvl w:ilvl="6" w:tplc="04100001" w:tentative="1">
      <w:start w:val="1"/>
      <w:numFmt w:val="bullet"/>
      <w:lvlText w:val=""/>
      <w:lvlJc w:val="left"/>
      <w:pPr>
        <w:ind w:left="4986" w:hanging="360"/>
      </w:pPr>
      <w:rPr>
        <w:rFonts w:ascii="Symbol" w:hAnsi="Symbol" w:hint="default"/>
      </w:rPr>
    </w:lvl>
    <w:lvl w:ilvl="7" w:tplc="04100003" w:tentative="1">
      <w:start w:val="1"/>
      <w:numFmt w:val="bullet"/>
      <w:lvlText w:val="o"/>
      <w:lvlJc w:val="left"/>
      <w:pPr>
        <w:ind w:left="5706" w:hanging="360"/>
      </w:pPr>
      <w:rPr>
        <w:rFonts w:ascii="Courier New" w:hAnsi="Courier New" w:cs="Courier New" w:hint="default"/>
      </w:rPr>
    </w:lvl>
    <w:lvl w:ilvl="8" w:tplc="04100005" w:tentative="1">
      <w:start w:val="1"/>
      <w:numFmt w:val="bullet"/>
      <w:lvlText w:val=""/>
      <w:lvlJc w:val="left"/>
      <w:pPr>
        <w:ind w:left="6426" w:hanging="360"/>
      </w:pPr>
      <w:rPr>
        <w:rFonts w:ascii="Wingdings" w:hAnsi="Wingdings" w:hint="default"/>
      </w:rPr>
    </w:lvl>
  </w:abstractNum>
  <w:abstractNum w:abstractNumId="14" w15:restartNumberingAfterBreak="0">
    <w:nsid w:val="7EA12B02"/>
    <w:multiLevelType w:val="hybridMultilevel"/>
    <w:tmpl w:val="3266FB5E"/>
    <w:lvl w:ilvl="0" w:tplc="9A04F896">
      <w:start w:val="1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984315"/>
    <w:multiLevelType w:val="hybridMultilevel"/>
    <w:tmpl w:val="58C862B4"/>
    <w:lvl w:ilvl="0" w:tplc="6E9AA212">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num w:numId="1" w16cid:durableId="2043244235">
    <w:abstractNumId w:val="15"/>
  </w:num>
  <w:num w:numId="2" w16cid:durableId="2104761934">
    <w:abstractNumId w:val="8"/>
  </w:num>
  <w:num w:numId="3" w16cid:durableId="2117019695">
    <w:abstractNumId w:val="13"/>
  </w:num>
  <w:num w:numId="4" w16cid:durableId="30766908">
    <w:abstractNumId w:val="6"/>
  </w:num>
  <w:num w:numId="5" w16cid:durableId="678314395">
    <w:abstractNumId w:val="1"/>
  </w:num>
  <w:num w:numId="6" w16cid:durableId="1032996300">
    <w:abstractNumId w:val="14"/>
  </w:num>
  <w:num w:numId="7" w16cid:durableId="292519378">
    <w:abstractNumId w:val="12"/>
  </w:num>
  <w:num w:numId="8" w16cid:durableId="2011758861">
    <w:abstractNumId w:val="3"/>
  </w:num>
  <w:num w:numId="9" w16cid:durableId="846167114">
    <w:abstractNumId w:val="5"/>
  </w:num>
  <w:num w:numId="10" w16cid:durableId="1631323148">
    <w:abstractNumId w:val="7"/>
  </w:num>
  <w:num w:numId="11" w16cid:durableId="364327193">
    <w:abstractNumId w:val="11"/>
  </w:num>
  <w:num w:numId="12" w16cid:durableId="1378771652">
    <w:abstractNumId w:val="2"/>
  </w:num>
  <w:num w:numId="13" w16cid:durableId="1522623894">
    <w:abstractNumId w:val="4"/>
  </w:num>
  <w:num w:numId="14" w16cid:durableId="851575448">
    <w:abstractNumId w:val="9"/>
  </w:num>
  <w:num w:numId="15" w16cid:durableId="765804896">
    <w:abstractNumId w:val="10"/>
  </w:num>
  <w:num w:numId="16" w16cid:durableId="37994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F5"/>
    <w:rsid w:val="00001B9F"/>
    <w:rsid w:val="000041FF"/>
    <w:rsid w:val="000044EB"/>
    <w:rsid w:val="00016F19"/>
    <w:rsid w:val="00021664"/>
    <w:rsid w:val="00025213"/>
    <w:rsid w:val="000375D7"/>
    <w:rsid w:val="000474D6"/>
    <w:rsid w:val="000735E9"/>
    <w:rsid w:val="00095E64"/>
    <w:rsid w:val="000A66C2"/>
    <w:rsid w:val="000A7CDE"/>
    <w:rsid w:val="000B19EE"/>
    <w:rsid w:val="000C64B8"/>
    <w:rsid w:val="000D4D81"/>
    <w:rsid w:val="000F5D9D"/>
    <w:rsid w:val="001065C7"/>
    <w:rsid w:val="0011312B"/>
    <w:rsid w:val="00137A39"/>
    <w:rsid w:val="00157E41"/>
    <w:rsid w:val="00184B8E"/>
    <w:rsid w:val="001D689F"/>
    <w:rsid w:val="001E7179"/>
    <w:rsid w:val="00214375"/>
    <w:rsid w:val="00232481"/>
    <w:rsid w:val="00247C61"/>
    <w:rsid w:val="00284227"/>
    <w:rsid w:val="00285E90"/>
    <w:rsid w:val="00294747"/>
    <w:rsid w:val="002A1119"/>
    <w:rsid w:val="002A2C8F"/>
    <w:rsid w:val="002A3A4E"/>
    <w:rsid w:val="002B04AA"/>
    <w:rsid w:val="002B238C"/>
    <w:rsid w:val="002B4801"/>
    <w:rsid w:val="002C4A37"/>
    <w:rsid w:val="002E1995"/>
    <w:rsid w:val="002F4380"/>
    <w:rsid w:val="0031576C"/>
    <w:rsid w:val="003209FF"/>
    <w:rsid w:val="00325AB6"/>
    <w:rsid w:val="00326425"/>
    <w:rsid w:val="0032689D"/>
    <w:rsid w:val="00327617"/>
    <w:rsid w:val="00331C18"/>
    <w:rsid w:val="00391321"/>
    <w:rsid w:val="003D1B75"/>
    <w:rsid w:val="0040061D"/>
    <w:rsid w:val="0042017C"/>
    <w:rsid w:val="004314B2"/>
    <w:rsid w:val="00437EA7"/>
    <w:rsid w:val="00466C5B"/>
    <w:rsid w:val="00483E67"/>
    <w:rsid w:val="004905CF"/>
    <w:rsid w:val="00493AB1"/>
    <w:rsid w:val="004A4700"/>
    <w:rsid w:val="004B0B4D"/>
    <w:rsid w:val="004B603C"/>
    <w:rsid w:val="004D5598"/>
    <w:rsid w:val="004D5CFF"/>
    <w:rsid w:val="00521E69"/>
    <w:rsid w:val="0052721F"/>
    <w:rsid w:val="00533E77"/>
    <w:rsid w:val="00551AD3"/>
    <w:rsid w:val="00553F88"/>
    <w:rsid w:val="0056711B"/>
    <w:rsid w:val="00585EF2"/>
    <w:rsid w:val="005C2781"/>
    <w:rsid w:val="005D0551"/>
    <w:rsid w:val="005E3A7B"/>
    <w:rsid w:val="005E5444"/>
    <w:rsid w:val="005E70FE"/>
    <w:rsid w:val="00616423"/>
    <w:rsid w:val="00626EC0"/>
    <w:rsid w:val="00627969"/>
    <w:rsid w:val="006320CC"/>
    <w:rsid w:val="006669DE"/>
    <w:rsid w:val="00666F71"/>
    <w:rsid w:val="00676760"/>
    <w:rsid w:val="006C472F"/>
    <w:rsid w:val="006D160C"/>
    <w:rsid w:val="006F1B54"/>
    <w:rsid w:val="00722E24"/>
    <w:rsid w:val="007335A1"/>
    <w:rsid w:val="00746DE9"/>
    <w:rsid w:val="00751C35"/>
    <w:rsid w:val="0076442F"/>
    <w:rsid w:val="00781E9E"/>
    <w:rsid w:val="007842B3"/>
    <w:rsid w:val="007867BE"/>
    <w:rsid w:val="007E6ECB"/>
    <w:rsid w:val="008018A5"/>
    <w:rsid w:val="008027DB"/>
    <w:rsid w:val="00803FAA"/>
    <w:rsid w:val="00805DFB"/>
    <w:rsid w:val="00837223"/>
    <w:rsid w:val="00847F13"/>
    <w:rsid w:val="0085351A"/>
    <w:rsid w:val="00870D73"/>
    <w:rsid w:val="00886EEB"/>
    <w:rsid w:val="00886FAA"/>
    <w:rsid w:val="008905C4"/>
    <w:rsid w:val="00894E84"/>
    <w:rsid w:val="008963F3"/>
    <w:rsid w:val="008D1052"/>
    <w:rsid w:val="008E119D"/>
    <w:rsid w:val="008F17DD"/>
    <w:rsid w:val="008F6652"/>
    <w:rsid w:val="00922FB3"/>
    <w:rsid w:val="009268AC"/>
    <w:rsid w:val="009337AD"/>
    <w:rsid w:val="00940D5E"/>
    <w:rsid w:val="009735B6"/>
    <w:rsid w:val="009765F6"/>
    <w:rsid w:val="009B258D"/>
    <w:rsid w:val="009C0E5F"/>
    <w:rsid w:val="009C737C"/>
    <w:rsid w:val="009D1076"/>
    <w:rsid w:val="009E777C"/>
    <w:rsid w:val="00A032BF"/>
    <w:rsid w:val="00A13896"/>
    <w:rsid w:val="00A542E8"/>
    <w:rsid w:val="00A608CA"/>
    <w:rsid w:val="00AD7CBC"/>
    <w:rsid w:val="00AE0169"/>
    <w:rsid w:val="00AE0CC6"/>
    <w:rsid w:val="00AF4A19"/>
    <w:rsid w:val="00B056E9"/>
    <w:rsid w:val="00B106F0"/>
    <w:rsid w:val="00B1468A"/>
    <w:rsid w:val="00B21A59"/>
    <w:rsid w:val="00B32878"/>
    <w:rsid w:val="00B34419"/>
    <w:rsid w:val="00B457F1"/>
    <w:rsid w:val="00B8283B"/>
    <w:rsid w:val="00B82A4A"/>
    <w:rsid w:val="00B9037B"/>
    <w:rsid w:val="00B945AD"/>
    <w:rsid w:val="00BB4F0F"/>
    <w:rsid w:val="00BB5B4C"/>
    <w:rsid w:val="00BC1B43"/>
    <w:rsid w:val="00BD3FF5"/>
    <w:rsid w:val="00BE01B3"/>
    <w:rsid w:val="00BE36F2"/>
    <w:rsid w:val="00BF177F"/>
    <w:rsid w:val="00BF454E"/>
    <w:rsid w:val="00BF4FD3"/>
    <w:rsid w:val="00C136AD"/>
    <w:rsid w:val="00C203F0"/>
    <w:rsid w:val="00C2376E"/>
    <w:rsid w:val="00C37754"/>
    <w:rsid w:val="00C50660"/>
    <w:rsid w:val="00C6324A"/>
    <w:rsid w:val="00C63FF7"/>
    <w:rsid w:val="00C76FEB"/>
    <w:rsid w:val="00C8516A"/>
    <w:rsid w:val="00CB2776"/>
    <w:rsid w:val="00CB5FCE"/>
    <w:rsid w:val="00CD57DF"/>
    <w:rsid w:val="00CE48DC"/>
    <w:rsid w:val="00CE4B88"/>
    <w:rsid w:val="00D06853"/>
    <w:rsid w:val="00D10303"/>
    <w:rsid w:val="00D349D3"/>
    <w:rsid w:val="00D3718B"/>
    <w:rsid w:val="00D447FF"/>
    <w:rsid w:val="00D51C26"/>
    <w:rsid w:val="00D824BC"/>
    <w:rsid w:val="00D872F1"/>
    <w:rsid w:val="00DD5054"/>
    <w:rsid w:val="00DE4188"/>
    <w:rsid w:val="00E13D93"/>
    <w:rsid w:val="00E20BB0"/>
    <w:rsid w:val="00E323F3"/>
    <w:rsid w:val="00E37027"/>
    <w:rsid w:val="00E37064"/>
    <w:rsid w:val="00E569D5"/>
    <w:rsid w:val="00E60260"/>
    <w:rsid w:val="00E66506"/>
    <w:rsid w:val="00E928F5"/>
    <w:rsid w:val="00E92BDB"/>
    <w:rsid w:val="00EA5DCC"/>
    <w:rsid w:val="00EA7B36"/>
    <w:rsid w:val="00EB017C"/>
    <w:rsid w:val="00EB2CE7"/>
    <w:rsid w:val="00EB5CF5"/>
    <w:rsid w:val="00EE1FE8"/>
    <w:rsid w:val="00EF5B0F"/>
    <w:rsid w:val="00EF649D"/>
    <w:rsid w:val="00F21D77"/>
    <w:rsid w:val="00F277E4"/>
    <w:rsid w:val="00F31530"/>
    <w:rsid w:val="00F6186F"/>
    <w:rsid w:val="00F85B4F"/>
    <w:rsid w:val="00FB0039"/>
    <w:rsid w:val="00FB2740"/>
    <w:rsid w:val="00FC0069"/>
    <w:rsid w:val="00FF0117"/>
    <w:rsid w:val="00FF7723"/>
    <w:rsid w:val="00FF7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2EC49"/>
  <w15:chartTrackingRefBased/>
  <w15:docId w15:val="{F9A09C41-CBA6-42A3-A33B-BC3C786B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E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28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8F5"/>
  </w:style>
  <w:style w:type="paragraph" w:styleId="Pidipagina">
    <w:name w:val="footer"/>
    <w:basedOn w:val="Normale"/>
    <w:link w:val="PidipaginaCarattere"/>
    <w:uiPriority w:val="99"/>
    <w:unhideWhenUsed/>
    <w:rsid w:val="00E928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8F5"/>
  </w:style>
  <w:style w:type="table" w:styleId="Grigliatabella">
    <w:name w:val="Table Grid"/>
    <w:basedOn w:val="Tabellanormale"/>
    <w:uiPriority w:val="39"/>
    <w:rsid w:val="0032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603C"/>
    <w:pPr>
      <w:ind w:left="720"/>
      <w:contextualSpacing/>
    </w:pPr>
  </w:style>
  <w:style w:type="table" w:customStyle="1" w:styleId="Grigliatabella1">
    <w:name w:val="Griglia tabella1"/>
    <w:basedOn w:val="Tabellanormale"/>
    <w:next w:val="Grigliatabella"/>
    <w:rsid w:val="00FB274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C50660"/>
    <w:rPr>
      <w:rFonts w:ascii="Times New Roman" w:hAnsi="Times New Roman" w:cs="Times New Roman"/>
      <w:sz w:val="24"/>
      <w:szCs w:val="24"/>
    </w:rPr>
  </w:style>
  <w:style w:type="character" w:styleId="Collegamentoipertestuale">
    <w:name w:val="Hyperlink"/>
    <w:basedOn w:val="Carpredefinitoparagrafo"/>
    <w:uiPriority w:val="99"/>
    <w:unhideWhenUsed/>
    <w:rsid w:val="00C50660"/>
    <w:rPr>
      <w:color w:val="0563C1" w:themeColor="hyperlink"/>
      <w:u w:val="single"/>
    </w:rPr>
  </w:style>
  <w:style w:type="character" w:styleId="Menzionenonrisolta">
    <w:name w:val="Unresolved Mention"/>
    <w:basedOn w:val="Carpredefinitoparagrafo"/>
    <w:uiPriority w:val="99"/>
    <w:semiHidden/>
    <w:unhideWhenUsed/>
    <w:rsid w:val="00C50660"/>
    <w:rPr>
      <w:color w:val="605E5C"/>
      <w:shd w:val="clear" w:color="auto" w:fill="E1DFDD"/>
    </w:rPr>
  </w:style>
  <w:style w:type="paragraph" w:styleId="Testofumetto">
    <w:name w:val="Balloon Text"/>
    <w:basedOn w:val="Normale"/>
    <w:link w:val="TestofumettoCarattere"/>
    <w:uiPriority w:val="99"/>
    <w:semiHidden/>
    <w:unhideWhenUsed/>
    <w:rsid w:val="00B828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83B"/>
    <w:rPr>
      <w:rFonts w:ascii="Segoe UI" w:hAnsi="Segoe UI" w:cs="Segoe UI"/>
      <w:sz w:val="18"/>
      <w:szCs w:val="18"/>
    </w:rPr>
  </w:style>
  <w:style w:type="character" w:styleId="Rimandocommento">
    <w:name w:val="annotation reference"/>
    <w:basedOn w:val="Carpredefinitoparagrafo"/>
    <w:uiPriority w:val="99"/>
    <w:semiHidden/>
    <w:unhideWhenUsed/>
    <w:rsid w:val="00E92BDB"/>
    <w:rPr>
      <w:sz w:val="16"/>
      <w:szCs w:val="16"/>
    </w:rPr>
  </w:style>
  <w:style w:type="paragraph" w:styleId="Testocommento">
    <w:name w:val="annotation text"/>
    <w:basedOn w:val="Normale"/>
    <w:link w:val="TestocommentoCarattere"/>
    <w:uiPriority w:val="99"/>
    <w:semiHidden/>
    <w:unhideWhenUsed/>
    <w:rsid w:val="00E92BD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2BDB"/>
    <w:rPr>
      <w:sz w:val="20"/>
      <w:szCs w:val="20"/>
    </w:rPr>
  </w:style>
  <w:style w:type="paragraph" w:styleId="Soggettocommento">
    <w:name w:val="annotation subject"/>
    <w:basedOn w:val="Testocommento"/>
    <w:next w:val="Testocommento"/>
    <w:link w:val="SoggettocommentoCarattere"/>
    <w:uiPriority w:val="99"/>
    <w:semiHidden/>
    <w:unhideWhenUsed/>
    <w:rsid w:val="00E92BDB"/>
    <w:rPr>
      <w:b/>
      <w:bCs/>
    </w:rPr>
  </w:style>
  <w:style w:type="character" w:customStyle="1" w:styleId="SoggettocommentoCarattere">
    <w:name w:val="Soggetto commento Carattere"/>
    <w:basedOn w:val="TestocommentoCarattere"/>
    <w:link w:val="Soggettocommento"/>
    <w:uiPriority w:val="99"/>
    <w:semiHidden/>
    <w:rsid w:val="00E92BDB"/>
    <w:rPr>
      <w:b/>
      <w:bCs/>
      <w:sz w:val="20"/>
      <w:szCs w:val="20"/>
    </w:rPr>
  </w:style>
  <w:style w:type="character" w:styleId="Enfasicorsivo">
    <w:name w:val="Emphasis"/>
    <w:basedOn w:val="Carpredefinitoparagrafo"/>
    <w:uiPriority w:val="20"/>
    <w:qFormat/>
    <w:rsid w:val="00FF0117"/>
    <w:rPr>
      <w:i/>
      <w:iCs/>
    </w:rPr>
  </w:style>
  <w:style w:type="character" w:styleId="Enfasigrassetto">
    <w:name w:val="Strong"/>
    <w:basedOn w:val="Carpredefinitoparagrafo"/>
    <w:uiPriority w:val="22"/>
    <w:qFormat/>
    <w:rsid w:val="00FF0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481954">
      <w:bodyDiv w:val="1"/>
      <w:marLeft w:val="0"/>
      <w:marRight w:val="0"/>
      <w:marTop w:val="0"/>
      <w:marBottom w:val="0"/>
      <w:divBdr>
        <w:top w:val="none" w:sz="0" w:space="0" w:color="auto"/>
        <w:left w:val="none" w:sz="0" w:space="0" w:color="auto"/>
        <w:bottom w:val="none" w:sz="0" w:space="0" w:color="auto"/>
        <w:right w:val="none" w:sz="0" w:space="0" w:color="auto"/>
      </w:divBdr>
      <w:divsChild>
        <w:div w:id="2010138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taliadomani.gov.it/it/faq/il-principio-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6050CAD728C844A7F8B6464029CD42" ma:contentTypeVersion="17" ma:contentTypeDescription="Creare un nuovo documento." ma:contentTypeScope="" ma:versionID="478f18676ee208d6adaac7fcefcd8fde">
  <xsd:schema xmlns:xsd="http://www.w3.org/2001/XMLSchema" xmlns:xs="http://www.w3.org/2001/XMLSchema" xmlns:p="http://schemas.microsoft.com/office/2006/metadata/properties" xmlns:ns2="7feed37f-e7c8-451f-b12c-99b66d51beb9" xmlns:ns3="b6372e33-bf60-49e0-82ad-51f898ce2557" targetNamespace="http://schemas.microsoft.com/office/2006/metadata/properties" ma:root="true" ma:fieldsID="88c8a9c2a897a4d9bbe52c4851c48849" ns2:_="" ns3:_="">
    <xsd:import namespace="7feed37f-e7c8-451f-b12c-99b66d51beb9"/>
    <xsd:import namespace="b6372e33-bf60-49e0-82ad-51f898ce2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element ref="ns2:Approv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ed37f-e7c8-451f-b12c-99b66d51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tato consenso" ma:internalName="Stato_x0020_consenso">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Approver" ma:index="22" nillable="true" ma:displayName="Approver" ma:format="Dropdown" ma:internalName="Approv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72e33-bf60-49e0-82ad-51f898ce25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3bab1b-ec82-4341-bf04-20d25a17fb75}" ma:internalName="TaxCatchAll" ma:showField="CatchAllData" ma:web="b6372e33-bf60-49e0-82ad-51f898ce2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ed37f-e7c8-451f-b12c-99b66d51beb9">
      <Terms xmlns="http://schemas.microsoft.com/office/infopath/2007/PartnerControls"/>
    </lcf76f155ced4ddcb4097134ff3c332f>
    <TaxCatchAll xmlns="b6372e33-bf60-49e0-82ad-51f898ce2557" xsi:nil="true"/>
    <Approver xmlns="7feed37f-e7c8-451f-b12c-99b66d51beb9" xsi:nil="true"/>
    <_Flow_SignoffStatus xmlns="7feed37f-e7c8-451f-b12c-99b66d51beb9" xsi:nil="true"/>
  </documentManagement>
</p:properties>
</file>

<file path=customXml/itemProps1.xml><?xml version="1.0" encoding="utf-8"?>
<ds:datastoreItem xmlns:ds="http://schemas.openxmlformats.org/officeDocument/2006/customXml" ds:itemID="{284C988B-AB78-48F2-B862-337FFB33DC1D}"/>
</file>

<file path=customXml/itemProps2.xml><?xml version="1.0" encoding="utf-8"?>
<ds:datastoreItem xmlns:ds="http://schemas.openxmlformats.org/officeDocument/2006/customXml" ds:itemID="{E3688372-21AB-4937-A6EE-8DDBA451E63F}">
  <ds:schemaRefs>
    <ds:schemaRef ds:uri="http://schemas.microsoft.com/sharepoint/v3/contenttype/forms"/>
  </ds:schemaRefs>
</ds:datastoreItem>
</file>

<file path=customXml/itemProps3.xml><?xml version="1.0" encoding="utf-8"?>
<ds:datastoreItem xmlns:ds="http://schemas.openxmlformats.org/officeDocument/2006/customXml" ds:itemID="{0F252637-72B8-48E4-895D-5B5B589FD079}">
  <ds:schemaRefs>
    <ds:schemaRef ds:uri="http://schemas.microsoft.com/office/2006/metadata/properties"/>
    <ds:schemaRef ds:uri="http://schemas.microsoft.com/office/infopath/2007/PartnerControls"/>
    <ds:schemaRef ds:uri="7feed37f-e7c8-451f-b12c-99b66d51beb9"/>
    <ds:schemaRef ds:uri="b6372e33-bf60-49e0-82ad-51f898ce2557"/>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1731</Words>
  <Characters>9867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11575</CharactersWithSpaces>
  <SharedDoc>false</SharedDoc>
  <HLinks>
    <vt:vector size="6" baseType="variant">
      <vt:variant>
        <vt:i4>1310737</vt:i4>
      </vt:variant>
      <vt:variant>
        <vt:i4>0</vt:i4>
      </vt:variant>
      <vt:variant>
        <vt:i4>0</vt:i4>
      </vt:variant>
      <vt:variant>
        <vt:i4>5</vt:i4>
      </vt:variant>
      <vt:variant>
        <vt:lpwstr>https://www.italiadomani.gov.it/it/faq/il-principio-dnsh.html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Giustini</dc:creator>
  <cp:keywords/>
  <dc:description/>
  <cp:lastModifiedBy>Catino Anna Maria</cp:lastModifiedBy>
  <cp:revision>8</cp:revision>
  <dcterms:created xsi:type="dcterms:W3CDTF">2024-07-10T07:50:00Z</dcterms:created>
  <dcterms:modified xsi:type="dcterms:W3CDTF">2025-04-24T12:57:00Z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2024-07-05T13:17:28Z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25df6ab6-cf6e-4ba1-ae91-c904aa811497</vt:lpwstr>
  </property>
  <property fmtid="{D5CDD505-2E9C-101B-9397-08002B2CF9AE}" pid="8" name="MSIP_Label_5097a60d-5525-435b-8989-8eb48ac0c8cd_ContentBits">
    <vt:lpwstr>0</vt:lpwstr>
  </property>
  <property fmtid="{D5CDD505-2E9C-101B-9397-08002B2CF9AE}" pid="9" name="ContentTypeId">
    <vt:lpwstr>0x0101002C6050CAD728C844A7F8B6464029CD42</vt:lpwstr>
  </property>
  <property fmtid="{D5CDD505-2E9C-101B-9397-08002B2CF9AE}" pid="10" name="MediaServiceImageTags">
    <vt:lpwstr/>
  </property>
</Properties>
</file>